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C34" w:rsidRPr="00C32003" w:rsidRDefault="001A6C34" w:rsidP="001A6C34">
      <w:pPr>
        <w:spacing w:after="0"/>
        <w:jc w:val="center"/>
        <w:rPr>
          <w:rFonts w:ascii="Times New Roman" w:eastAsia="Calibri" w:hAnsi="Times New Roman" w:cs="Times New Roman"/>
          <w:sz w:val="24"/>
          <w:szCs w:val="24"/>
        </w:rPr>
      </w:pPr>
      <w:r>
        <w:rPr>
          <w:rFonts w:ascii="Times New Roman" w:eastAsia="Times New Roman" w:hAnsi="Times New Roman" w:cs="Times New Roman"/>
          <w:b/>
          <w:bCs/>
          <w:smallCaps/>
          <w:sz w:val="24"/>
          <w:szCs w:val="24"/>
          <w:lang w:val="en-GB" w:eastAsia="en-GB"/>
        </w:rPr>
        <w:t>13</w:t>
      </w:r>
    </w:p>
    <w:p w:rsidR="001A6C34" w:rsidRPr="00B7477A" w:rsidRDefault="001A6C34" w:rsidP="001A6C34">
      <w:pPr>
        <w:tabs>
          <w:tab w:val="left" w:pos="540"/>
        </w:tabs>
        <w:spacing w:after="0" w:line="240" w:lineRule="auto"/>
        <w:ind w:right="-58"/>
        <w:jc w:val="center"/>
        <w:rPr>
          <w:rFonts w:ascii="Times New Roman Bold" w:eastAsia="Times New Roman" w:hAnsi="Times New Roman Bold" w:cs="Times New Roman"/>
          <w:b/>
          <w:bCs/>
          <w:sz w:val="24"/>
          <w:szCs w:val="24"/>
          <w:lang w:val="en-GB" w:eastAsia="en-GB"/>
        </w:rPr>
      </w:pPr>
      <w:r w:rsidRPr="00B7477A">
        <w:rPr>
          <w:rFonts w:ascii="Times New Roman Bold" w:eastAsia="Times New Roman" w:hAnsi="Times New Roman Bold" w:cs="Times New Roman"/>
          <w:b/>
          <w:bCs/>
          <w:sz w:val="24"/>
          <w:szCs w:val="24"/>
          <w:lang w:val="en-GB" w:eastAsia="en-GB"/>
        </w:rPr>
        <w:t>Did God Command the Genocide of the Canaanites?</w:t>
      </w:r>
    </w:p>
    <w:p w:rsidR="001A6C34" w:rsidRPr="00B7477A" w:rsidRDefault="001A6C34" w:rsidP="001A6C34">
      <w:pPr>
        <w:tabs>
          <w:tab w:val="left" w:pos="540"/>
        </w:tabs>
        <w:spacing w:after="0" w:line="360" w:lineRule="auto"/>
        <w:ind w:right="-58"/>
        <w:jc w:val="center"/>
        <w:rPr>
          <w:rFonts w:ascii="Times New Roman Bold" w:eastAsia="Times New Roman" w:hAnsi="Times New Roman Bold" w:cs="Times New Roman"/>
          <w:b/>
          <w:bCs/>
          <w:sz w:val="24"/>
          <w:szCs w:val="24"/>
          <w:lang w:val="en-GB" w:eastAsia="en-GB"/>
        </w:rPr>
      </w:pPr>
      <w:r w:rsidRPr="00B7477A">
        <w:rPr>
          <w:rFonts w:ascii="Times New Roman Bold" w:eastAsia="Times New Roman" w:hAnsi="Times New Roman Bold" w:cs="Times New Roman"/>
          <w:b/>
          <w:bCs/>
          <w:sz w:val="24"/>
          <w:szCs w:val="24"/>
          <w:lang w:val="en-GB" w:eastAsia="en-GB"/>
        </w:rPr>
        <w:t>Matthew Flannagan</w:t>
      </w:r>
    </w:p>
    <w:p w:rsidR="001A6C34" w:rsidRPr="007F5029" w:rsidRDefault="001A6C34" w:rsidP="001A6C34">
      <w:pPr>
        <w:tabs>
          <w:tab w:val="left" w:pos="540"/>
        </w:tabs>
        <w:spacing w:after="0" w:line="360" w:lineRule="auto"/>
        <w:ind w:right="-58"/>
        <w:jc w:val="center"/>
        <w:rPr>
          <w:rFonts w:ascii="Times New Roman" w:eastAsia="Times New Roman" w:hAnsi="Times New Roman" w:cs="Times New Roman"/>
          <w:b/>
          <w:bCs/>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One of the most perplexing issues facing Christian believers is a series of jarring texts in the Old Testament. After their liberation from slavery in Egypt, the Israelites arrived on the edge of the Promised Land. The book of Deuteronomy records that God then commanded Israel to “destroy totally” the people occupying these regions (the Canaanites); the Israelites were to “not leave alive anything that breathes” (20:16). The book of Joshua records the carrying out of this command.  In the sixth chapter it states: “they devoted the city to the </w:t>
      </w:r>
      <w:r w:rsidRPr="007F5029">
        <w:rPr>
          <w:rFonts w:ascii="Times New Roman" w:eastAsia="Times New Roman" w:hAnsi="Times New Roman" w:cs="Times New Roman"/>
          <w:smallCaps/>
          <w:sz w:val="24"/>
          <w:szCs w:val="24"/>
          <w:lang w:val="en-GB" w:eastAsia="en-GB"/>
        </w:rPr>
        <w:t>Lord</w:t>
      </w:r>
      <w:r w:rsidRPr="007F5029">
        <w:rPr>
          <w:rFonts w:ascii="Times New Roman" w:eastAsia="Times New Roman" w:hAnsi="Times New Roman" w:cs="Times New Roman"/>
          <w:sz w:val="24"/>
          <w:szCs w:val="24"/>
          <w:lang w:val="en-GB" w:eastAsia="en-GB"/>
        </w:rPr>
        <w:t xml:space="preserve"> and destroyed with the sword every living thing in it—men and women, young and old, cattle, sheep and donkeys” (v. 21).  Several chapters later, we read that Joshua “left no survivors. </w:t>
      </w:r>
      <w:proofErr w:type="gramStart"/>
      <w:r w:rsidRPr="007F5029">
        <w:rPr>
          <w:rFonts w:ascii="Times New Roman" w:eastAsia="Times New Roman" w:hAnsi="Times New Roman" w:cs="Times New Roman"/>
          <w:sz w:val="24"/>
          <w:szCs w:val="24"/>
          <w:lang w:val="en-GB" w:eastAsia="en-GB"/>
        </w:rPr>
        <w:t xml:space="preserve">He totally destroyed all who breathed, just as the </w:t>
      </w:r>
      <w:r w:rsidRPr="007F5029">
        <w:rPr>
          <w:rFonts w:ascii="Times New Roman" w:eastAsia="Times New Roman" w:hAnsi="Times New Roman" w:cs="Times New Roman"/>
          <w:smallCaps/>
          <w:sz w:val="24"/>
          <w:szCs w:val="24"/>
          <w:lang w:val="en-GB" w:eastAsia="en-GB"/>
        </w:rPr>
        <w:t>Lord</w:t>
      </w:r>
      <w:r w:rsidRPr="007F5029">
        <w:rPr>
          <w:rFonts w:ascii="Times New Roman" w:eastAsia="Times New Roman" w:hAnsi="Times New Roman" w:cs="Times New Roman"/>
          <w:sz w:val="24"/>
          <w:szCs w:val="24"/>
          <w:lang w:val="en-GB" w:eastAsia="en-GB"/>
        </w:rPr>
        <w:t>, the God of Israel, had commanded” (10:40; 11:14).</w:t>
      </w:r>
      <w:proofErr w:type="gramEnd"/>
      <w:r w:rsidRPr="007F5029">
        <w:rPr>
          <w:rFonts w:ascii="Times New Roman" w:eastAsia="Times New Roman" w:hAnsi="Times New Roman" w:cs="Times New Roman"/>
          <w:sz w:val="24"/>
          <w:szCs w:val="24"/>
          <w:lang w:val="en-GB" w:eastAsia="en-GB"/>
        </w:rPr>
        <w:t xml:space="preserve"> The text mentions city after city where Joshua, at God’s command, puts every inhabitant “to the sword,” “totally destroyed the inhabitants” and “left no survivors” (10:28, 30, 33, 37, 39, 40; 11:8). </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 xml:space="preserve">If one takes these passages literally, one must conclude this is a record of divinely-authorized commission of genocide. </w:t>
      </w:r>
      <w:r>
        <w:rPr>
          <w:rFonts w:ascii="Times New Roman" w:eastAsia="Times New Roman" w:hAnsi="Times New Roman" w:cs="Times New Roman"/>
          <w:sz w:val="24"/>
          <w:szCs w:val="24"/>
          <w:lang w:val="en-GB" w:eastAsia="en-GB"/>
        </w:rPr>
        <w:t>C</w:t>
      </w:r>
      <w:r w:rsidRPr="007F5029">
        <w:rPr>
          <w:rFonts w:ascii="Times New Roman" w:eastAsia="Times New Roman" w:hAnsi="Times New Roman" w:cs="Times New Roman"/>
          <w:sz w:val="24"/>
          <w:szCs w:val="24"/>
          <w:lang w:val="en-GB" w:eastAsia="en-GB"/>
        </w:rPr>
        <w:t>ritics of Christian theism often ask a rhetorical question: how could a good and loving God command the extermination of the Canaanites?</w:t>
      </w:r>
      <w:r w:rsidRPr="00A46409">
        <w:rPr>
          <w:rFonts w:ascii="Times New Roman" w:eastAsia="Times New Roman" w:hAnsi="Times New Roman" w:cs="Times New Roman"/>
          <w:sz w:val="24"/>
          <w:szCs w:val="24"/>
          <w:vertAlign w:val="superscript"/>
          <w:lang w:val="en-GB" w:eastAsia="en-GB"/>
        </w:rPr>
        <w:footnoteReference w:id="1"/>
      </w:r>
    </w:p>
    <w:p w:rsidR="001A6C34" w:rsidRPr="007F502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ab/>
      </w:r>
      <w:r w:rsidRPr="007F5029">
        <w:rPr>
          <w:rFonts w:ascii="Times New Roman" w:eastAsia="Times New Roman" w:hAnsi="Times New Roman" w:cs="Times New Roman"/>
          <w:sz w:val="24"/>
          <w:szCs w:val="24"/>
          <w:lang w:val="en-GB" w:eastAsia="en-GB"/>
        </w:rPr>
        <w:t>One response, which goes back to the patristic era, is to suggest that the strict, literal reading on which this rhetorical question is based is mistaken. Recently, several Protestant scholars have suggested a hyperbolic reading of the relevant passages.</w:t>
      </w:r>
      <w:r w:rsidRPr="00A46409">
        <w:rPr>
          <w:rFonts w:ascii="Times New Roman" w:eastAsia="Times New Roman" w:hAnsi="Times New Roman" w:cs="Times New Roman"/>
          <w:sz w:val="24"/>
          <w:szCs w:val="24"/>
          <w:vertAlign w:val="superscript"/>
          <w:lang w:val="en-GB" w:eastAsia="en-GB"/>
        </w:rPr>
        <w:footnoteReference w:id="2"/>
      </w:r>
      <w:r w:rsidRPr="007F5029">
        <w:rPr>
          <w:rFonts w:ascii="Times New Roman" w:eastAsia="Times New Roman" w:hAnsi="Times New Roman" w:cs="Times New Roman"/>
          <w:sz w:val="24"/>
          <w:szCs w:val="24"/>
          <w:lang w:val="en-GB" w:eastAsia="en-GB"/>
        </w:rPr>
        <w:t xml:space="preserve">  They suggest language such as “destroy totally,” “do not leave alive anything that breathes,” destroy “men and women, young and old,” and so on, should be understood more like how we understand what a person means who yells, in the context of watching Lennox Lewis in a boxing match:  “Knock his block off!  Hand him his head!  Take him out!” or hopes that the All Blacks will “annihilate the Springboks” or “totally slaughter the Wallabies.”  Now, the sports fan does not actually want Lennox Lewis to decapitate his opponent or for the All Blacks to become mass murderers.  The same could be true here: understood in a non-literal sense the phrases probably mean “something like, attack them, defeat them, drive them out; not literally kill every man, woman, child donkey and the like.”</w:t>
      </w:r>
      <w:r w:rsidRPr="00A46409">
        <w:rPr>
          <w:rFonts w:ascii="Times New Roman" w:eastAsia="Times New Roman" w:hAnsi="Times New Roman" w:cs="Times New Roman"/>
          <w:sz w:val="24"/>
          <w:szCs w:val="24"/>
          <w:vertAlign w:val="superscript"/>
          <w:lang w:val="en-GB" w:eastAsia="en-GB"/>
        </w:rPr>
        <w:footnoteReference w:id="3"/>
      </w:r>
    </w:p>
    <w:p w:rsidR="001A6C34" w:rsidRPr="007F502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Nicholas Wolterstorff suggests:</w:t>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The Book of Joshua has to be read as a theologically oriented narration, stylized and hyperbolic at important points, of Israel’s early skirmishes in the Promised Land, with the story of these battles being framed by descriptions of two great ritualized events. The story as a whole celebrates Joshua as the great leader of his people, faithful to Yahweh, worthy successor of Moses. If we strip the word “hagiography” of its negative connotations we can call it a hagiographic account of Joshua’s events.</w:t>
      </w:r>
      <w:r w:rsidRPr="00A46409">
        <w:rPr>
          <w:rFonts w:ascii="Times New Roman" w:eastAsia="Times New Roman" w:hAnsi="Times New Roman" w:cs="Times New Roman"/>
          <w:sz w:val="24"/>
          <w:szCs w:val="24"/>
          <w:vertAlign w:val="superscript"/>
          <w:lang w:val="en-GB" w:eastAsia="en-GB"/>
        </w:rPr>
        <w:footnoteReference w:id="4"/>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p>
    <w:p w:rsidR="001A6C34" w:rsidRPr="00A4640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In this paper I will defend </w:t>
      </w: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position.</w:t>
      </w:r>
      <w:r w:rsidRPr="00A46409">
        <w:rPr>
          <w:rFonts w:ascii="Times New Roman" w:eastAsia="Times New Roman" w:hAnsi="Times New Roman" w:cs="Times New Roman"/>
          <w:sz w:val="24"/>
          <w:szCs w:val="24"/>
          <w:lang w:val="en-GB" w:eastAsia="en-GB"/>
        </w:rPr>
        <w:t xml:space="preserve">  In Part I</w:t>
      </w:r>
      <w:r w:rsidRPr="00295D04">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lang w:val="en-GB" w:eastAsia="en-GB"/>
        </w:rPr>
        <w:t xml:space="preserve"> I will sketch, adapt</w:t>
      </w:r>
      <w:r>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lang w:val="en-GB" w:eastAsia="en-GB"/>
        </w:rPr>
        <w:t xml:space="preserve"> and defend </w:t>
      </w:r>
      <w:proofErr w:type="spellStart"/>
      <w:r w:rsidRPr="00A46409">
        <w:rPr>
          <w:rFonts w:ascii="Times New Roman" w:eastAsia="Times New Roman" w:hAnsi="Times New Roman" w:cs="Times New Roman"/>
          <w:sz w:val="24"/>
          <w:szCs w:val="24"/>
          <w:lang w:val="en-GB" w:eastAsia="en-GB"/>
        </w:rPr>
        <w:t>Wolterstorff’s</w:t>
      </w:r>
      <w:proofErr w:type="spellEnd"/>
      <w:r w:rsidRPr="00A46409">
        <w:rPr>
          <w:rFonts w:ascii="Times New Roman" w:eastAsia="Times New Roman" w:hAnsi="Times New Roman" w:cs="Times New Roman"/>
          <w:sz w:val="24"/>
          <w:szCs w:val="24"/>
          <w:lang w:val="en-GB" w:eastAsia="en-GB"/>
        </w:rPr>
        <w:t xml:space="preserve"> argument.  In Part II, I will argue that external evidence from comparative studies in Ancient Near Eastern conquest accounts gives considerable support to </w:t>
      </w:r>
      <w:proofErr w:type="spellStart"/>
      <w:r w:rsidRPr="00A46409">
        <w:rPr>
          <w:rFonts w:ascii="Times New Roman" w:eastAsia="Times New Roman" w:hAnsi="Times New Roman" w:cs="Times New Roman"/>
          <w:sz w:val="24"/>
          <w:szCs w:val="24"/>
          <w:lang w:val="en-GB" w:eastAsia="en-GB"/>
        </w:rPr>
        <w:t>Wolterstorff’s</w:t>
      </w:r>
      <w:proofErr w:type="spellEnd"/>
      <w:r w:rsidRPr="00A46409">
        <w:rPr>
          <w:rFonts w:ascii="Times New Roman" w:eastAsia="Times New Roman" w:hAnsi="Times New Roman" w:cs="Times New Roman"/>
          <w:sz w:val="24"/>
          <w:szCs w:val="24"/>
          <w:lang w:val="en-GB" w:eastAsia="en-GB"/>
        </w:rPr>
        <w:t xml:space="preserve"> position.  Finally in Part III,</w:t>
      </w:r>
      <w:r w:rsidRPr="00A46409">
        <w:rPr>
          <w:rFonts w:ascii="Times New Roman" w:eastAsia="Times New Roman" w:hAnsi="Times New Roman" w:cs="Times New Roman"/>
          <w:b/>
          <w:sz w:val="24"/>
          <w:szCs w:val="24"/>
          <w:lang w:val="en-GB" w:eastAsia="en-GB"/>
        </w:rPr>
        <w:t xml:space="preserve"> </w:t>
      </w:r>
      <w:r w:rsidRPr="00A46409">
        <w:rPr>
          <w:rFonts w:ascii="Times New Roman" w:eastAsia="Times New Roman" w:hAnsi="Times New Roman" w:cs="Times New Roman"/>
          <w:sz w:val="24"/>
          <w:szCs w:val="24"/>
          <w:lang w:val="en-GB" w:eastAsia="en-GB"/>
        </w:rPr>
        <w:t>I will look at two implications of this position.</w:t>
      </w:r>
    </w:p>
    <w:p w:rsidR="001A6C34" w:rsidRPr="00A4640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jc w:val="center"/>
        <w:rPr>
          <w:rFonts w:ascii="Times New Roman" w:eastAsia="Times New Roman" w:hAnsi="Times New Roman" w:cs="Times New Roman"/>
          <w:b/>
          <w:sz w:val="24"/>
          <w:szCs w:val="24"/>
          <w:lang w:val="en-GB" w:eastAsia="en-GB"/>
        </w:rPr>
      </w:pPr>
      <w:proofErr w:type="spellStart"/>
      <w:r w:rsidRPr="007F5029">
        <w:rPr>
          <w:rFonts w:ascii="Times New Roman" w:eastAsia="Times New Roman" w:hAnsi="Times New Roman" w:cs="Times New Roman"/>
          <w:b/>
          <w:sz w:val="24"/>
          <w:szCs w:val="24"/>
          <w:lang w:val="en-GB" w:eastAsia="en-GB"/>
        </w:rPr>
        <w:t>Wolterstorff’s</w:t>
      </w:r>
      <w:proofErr w:type="spellEnd"/>
      <w:r w:rsidRPr="007F5029">
        <w:rPr>
          <w:rFonts w:ascii="Times New Roman" w:eastAsia="Times New Roman" w:hAnsi="Times New Roman" w:cs="Times New Roman"/>
          <w:b/>
          <w:sz w:val="24"/>
          <w:szCs w:val="24"/>
          <w:lang w:val="en-GB" w:eastAsia="en-GB"/>
        </w:rPr>
        <w:t xml:space="preserve"> Argument</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contention is that “a careful reading of the text in its literary context makes it implausible to interpret it as claiming that Yahweh ordered extermination.”  It is important to note what he means by context. Here, it is clear that Wolterstorff is advocating a </w:t>
      </w:r>
      <w:r w:rsidRPr="007F5029">
        <w:rPr>
          <w:rFonts w:ascii="Times New Roman" w:eastAsia="Times New Roman" w:hAnsi="Times New Roman" w:cs="Times New Roman"/>
          <w:i/>
          <w:sz w:val="24"/>
          <w:szCs w:val="24"/>
          <w:lang w:val="en-GB" w:eastAsia="en-GB"/>
        </w:rPr>
        <w:t>canonical</w:t>
      </w:r>
      <w:r w:rsidRPr="007F5029">
        <w:rPr>
          <w:rFonts w:ascii="Times New Roman" w:eastAsia="Times New Roman" w:hAnsi="Times New Roman" w:cs="Times New Roman"/>
          <w:sz w:val="24"/>
          <w:szCs w:val="24"/>
          <w:lang w:val="en-GB" w:eastAsia="en-GB"/>
        </w:rPr>
        <w:t xml:space="preserve"> approach. He notes that</w:t>
      </w:r>
    </w:p>
    <w:p w:rsidR="001A6C34" w:rsidRPr="007F5029" w:rsidRDefault="001A6C34" w:rsidP="001A6C34">
      <w:pPr>
        <w:spacing w:after="0" w:line="240" w:lineRule="auto"/>
        <w:ind w:left="72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Joshua as we have it today was intended as a component in the larger sequence consisting of Deuteronomy, Joshua, Judges, I and II Samuel, and I and II Kings….I propose that we interpret the Book of Joshua as a component within this larger sequence—in particular, that we interpret it as preceded by Deuteronomy and succeeded by Judges.</w:t>
      </w:r>
      <w:r w:rsidRPr="00A46409">
        <w:rPr>
          <w:rFonts w:ascii="Times New Roman" w:eastAsia="Times New Roman" w:hAnsi="Times New Roman" w:cs="Times New Roman"/>
          <w:sz w:val="24"/>
          <w:szCs w:val="24"/>
          <w:vertAlign w:val="superscript"/>
          <w:lang w:val="en-GB" w:eastAsia="en-GB"/>
        </w:rPr>
        <w:footnoteReference w:id="5"/>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Joshua comes after Deuteronomy and before Judges. These books should be read as a single narrative—a connected literary unit.  </w:t>
      </w:r>
      <w:proofErr w:type="gramStart"/>
      <w:r w:rsidRPr="007F5029">
        <w:rPr>
          <w:rFonts w:ascii="Times New Roman" w:eastAsia="Times New Roman" w:hAnsi="Times New Roman" w:cs="Times New Roman"/>
          <w:sz w:val="24"/>
          <w:szCs w:val="24"/>
          <w:lang w:val="en-GB" w:eastAsia="en-GB"/>
        </w:rPr>
        <w:t xml:space="preserve">For example, Joshua 24:28-31 mentions Joshua’s death and burial place at </w:t>
      </w:r>
      <w:proofErr w:type="spellStart"/>
      <w:r w:rsidRPr="007F5029">
        <w:rPr>
          <w:rFonts w:ascii="Times New Roman" w:eastAsia="Times New Roman" w:hAnsi="Times New Roman" w:cs="Times New Roman"/>
          <w:sz w:val="24"/>
          <w:szCs w:val="24"/>
          <w:lang w:val="en-GB" w:eastAsia="en-GB"/>
        </w:rPr>
        <w:t>Timnathserah</w:t>
      </w:r>
      <w:proofErr w:type="spellEnd"/>
      <w:r w:rsidRPr="007F5029">
        <w:rPr>
          <w:rFonts w:ascii="Times New Roman" w:eastAsia="Times New Roman" w:hAnsi="Times New Roman" w:cs="Times New Roman"/>
          <w:sz w:val="24"/>
          <w:szCs w:val="24"/>
          <w:lang w:val="en-GB" w:eastAsia="en-GB"/>
        </w:rPr>
        <w:t xml:space="preserve"> “in the hill country of Ephraim.”</w:t>
      </w:r>
      <w:proofErr w:type="gramEnd"/>
      <w:r w:rsidRPr="007F5029">
        <w:rPr>
          <w:rFonts w:ascii="Times New Roman" w:eastAsia="Times New Roman" w:hAnsi="Times New Roman" w:cs="Times New Roman"/>
          <w:sz w:val="24"/>
          <w:szCs w:val="24"/>
          <w:lang w:val="en-GB" w:eastAsia="en-GB"/>
        </w:rPr>
        <w:t xml:space="preserve">  This is deliberately connected to Judges 2:6-9, which mentions Joshua’s death and burial place at </w:t>
      </w:r>
      <w:proofErr w:type="spellStart"/>
      <w:r w:rsidRPr="007F5029">
        <w:rPr>
          <w:rFonts w:ascii="Times New Roman" w:eastAsia="Times New Roman" w:hAnsi="Times New Roman" w:cs="Times New Roman"/>
          <w:sz w:val="24"/>
          <w:szCs w:val="24"/>
          <w:lang w:val="en-GB" w:eastAsia="en-GB"/>
        </w:rPr>
        <w:t>Timnath-heres</w:t>
      </w:r>
      <w:proofErr w:type="spellEnd"/>
      <w:r w:rsidRPr="007F5029">
        <w:rPr>
          <w:rFonts w:ascii="Times New Roman" w:eastAsia="Times New Roman" w:hAnsi="Times New Roman" w:cs="Times New Roman"/>
          <w:sz w:val="24"/>
          <w:szCs w:val="24"/>
          <w:lang w:val="en-GB" w:eastAsia="en-GB"/>
        </w:rPr>
        <w:t xml:space="preserve"> “in the hill country of Ephraim. The first and last consonants are switched (from </w:t>
      </w:r>
      <w:proofErr w:type="spellStart"/>
      <w:r w:rsidRPr="007F5029">
        <w:rPr>
          <w:rFonts w:ascii="Times New Roman" w:eastAsia="Times New Roman" w:hAnsi="Times New Roman" w:cs="Times New Roman"/>
          <w:i/>
          <w:sz w:val="24"/>
          <w:szCs w:val="24"/>
          <w:lang w:val="en-GB" w:eastAsia="en-GB"/>
        </w:rPr>
        <w:t>serah</w:t>
      </w:r>
      <w:proofErr w:type="spellEnd"/>
      <w:r w:rsidRPr="007F5029">
        <w:rPr>
          <w:rFonts w:ascii="Times New Roman" w:eastAsia="Times New Roman" w:hAnsi="Times New Roman" w:cs="Times New Roman"/>
          <w:sz w:val="24"/>
          <w:szCs w:val="24"/>
          <w:lang w:val="en-GB" w:eastAsia="en-GB"/>
        </w:rPr>
        <w:t xml:space="preserve"> to </w:t>
      </w:r>
      <w:proofErr w:type="spellStart"/>
      <w:r w:rsidRPr="007F5029">
        <w:rPr>
          <w:rFonts w:ascii="Times New Roman" w:eastAsia="Times New Roman" w:hAnsi="Times New Roman" w:cs="Times New Roman"/>
          <w:i/>
          <w:sz w:val="24"/>
          <w:szCs w:val="24"/>
          <w:lang w:val="en-GB" w:eastAsia="en-GB"/>
        </w:rPr>
        <w:t>heres</w:t>
      </w:r>
      <w:proofErr w:type="spellEnd"/>
      <w:r w:rsidRPr="007F5029">
        <w:rPr>
          <w:rFonts w:ascii="Times New Roman" w:eastAsia="Times New Roman" w:hAnsi="Times New Roman" w:cs="Times New Roman"/>
          <w:sz w:val="24"/>
          <w:szCs w:val="24"/>
          <w:lang w:val="en-GB" w:eastAsia="en-GB"/>
        </w:rPr>
        <w:t>—a Hebrew literary device.  Not only this, Judges connects to 1 (and 2) Samuel (the next book in the Hebrew canon) with its reference to “the hill country of Ephraim.”</w:t>
      </w:r>
      <w:r w:rsidRPr="00A46409">
        <w:rPr>
          <w:rFonts w:ascii="Times New Roman" w:eastAsia="Times New Roman" w:hAnsi="Times New Roman" w:cs="Times New Roman"/>
          <w:sz w:val="24"/>
          <w:szCs w:val="24"/>
          <w:vertAlign w:val="superscript"/>
          <w:lang w:val="en-GB" w:eastAsia="en-GB"/>
        </w:rPr>
        <w:footnoteReference w:id="6"/>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ab/>
        <w:t>When one does read</w:t>
      </w:r>
      <w:r w:rsidRPr="007F5029">
        <w:rPr>
          <w:rFonts w:ascii="Times New Roman" w:eastAsia="Times New Roman" w:hAnsi="Times New Roman" w:cs="Times New Roman"/>
          <w:sz w:val="24"/>
          <w:szCs w:val="24"/>
          <w:lang w:val="en-GB" w:eastAsia="en-GB"/>
        </w:rPr>
        <w:t xml:space="preserve"> these books as a connected literary unit, several issues are apparent.  Joshua 6-11 summarizes several battles and concludes with “</w:t>
      </w:r>
      <w:r w:rsidRPr="00A46409">
        <w:rPr>
          <w:rFonts w:ascii="Times New Roman" w:eastAsia="Times New Roman" w:hAnsi="Times New Roman" w:cs="Times New Roman"/>
          <w:sz w:val="24"/>
          <w:szCs w:val="24"/>
          <w:lang w:val="en-GB" w:eastAsia="en-GB"/>
        </w:rPr>
        <w:t xml:space="preserve">So Joshua took the entire land, just as the </w:t>
      </w:r>
      <w:r w:rsidRPr="007F5029">
        <w:rPr>
          <w:rFonts w:ascii="Times New Roman" w:eastAsia="Times New Roman" w:hAnsi="Times New Roman" w:cs="Times New Roman"/>
          <w:smallCaps/>
          <w:sz w:val="24"/>
          <w:szCs w:val="24"/>
          <w:lang w:val="en-GB" w:eastAsia="en-GB"/>
        </w:rPr>
        <w:t>Lord</w:t>
      </w:r>
      <w:r w:rsidRPr="00A46409">
        <w:rPr>
          <w:rFonts w:ascii="Times New Roman" w:eastAsia="Times New Roman" w:hAnsi="Times New Roman" w:cs="Times New Roman"/>
          <w:sz w:val="24"/>
          <w:szCs w:val="24"/>
          <w:lang w:val="en-GB" w:eastAsia="en-GB"/>
        </w:rPr>
        <w:t xml:space="preserve"> had directed Moses, and he gave it as an inheritance to Israel according to their tribal divisions. Then the land had rest from war</w:t>
      </w:r>
      <w:r w:rsidRPr="007F5029">
        <w:rPr>
          <w:rFonts w:ascii="Times New Roman" w:eastAsia="Times New Roman" w:hAnsi="Times New Roman" w:cs="Times New Roman"/>
          <w:sz w:val="24"/>
          <w:szCs w:val="24"/>
          <w:lang w:val="en-GB" w:eastAsia="en-GB"/>
        </w:rPr>
        <w:t>” (Joshua 11:23).</w:t>
      </w:r>
      <w:r w:rsidRPr="00A46409">
        <w:rPr>
          <w:rFonts w:ascii="Times New Roman" w:eastAsia="Times New Roman" w:hAnsi="Times New Roman" w:cs="Times New Roman"/>
          <w:sz w:val="24"/>
          <w:szCs w:val="24"/>
          <w:vertAlign w:val="superscript"/>
          <w:lang w:val="en-GB" w:eastAsia="en-GB"/>
        </w:rPr>
        <w:footnoteReference w:id="7"/>
      </w:r>
      <w:r w:rsidRPr="007F5029">
        <w:rPr>
          <w:rFonts w:ascii="Times New Roman" w:eastAsia="Times New Roman" w:hAnsi="Times New Roman" w:cs="Times New Roman"/>
          <w:sz w:val="24"/>
          <w:szCs w:val="24"/>
          <w:lang w:val="en-GB" w:eastAsia="en-GB"/>
        </w:rPr>
        <w:t xml:space="preserve"> Judges, however, opens with a battle that occurs </w:t>
      </w:r>
      <w:r w:rsidRPr="007F5029">
        <w:rPr>
          <w:rFonts w:ascii="Times New Roman" w:eastAsia="Times New Roman" w:hAnsi="Times New Roman" w:cs="Times New Roman"/>
          <w:i/>
          <w:sz w:val="24"/>
          <w:szCs w:val="24"/>
          <w:lang w:val="en-GB" w:eastAsia="en-GB"/>
        </w:rPr>
        <w:t>after</w:t>
      </w:r>
      <w:r w:rsidRPr="007F5029">
        <w:rPr>
          <w:rFonts w:ascii="Times New Roman" w:eastAsia="Times New Roman" w:hAnsi="Times New Roman" w:cs="Times New Roman"/>
          <w:sz w:val="24"/>
          <w:szCs w:val="24"/>
          <w:lang w:val="en-GB" w:eastAsia="en-GB"/>
        </w:rPr>
        <w:t xml:space="preserve"> Joshua’s death; it states,</w:t>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After the death of Joshua, the Israelites inquired of the Lord, “Who shall go up first for us against the Canaanites, to fight against them?” The Lord said, “Judah shall go up. I hereby give the land into his hand.” Judah said to his brother Simeon, “Come up with me into the territory allotted to me, that we may fight against the Canaanites; then I too will go with you into the territory allotted to you. So Simeon went with him. Then Judah went up and the Lord gave the Canaanites and the </w:t>
      </w:r>
      <w:proofErr w:type="spellStart"/>
      <w:r w:rsidRPr="007F5029">
        <w:rPr>
          <w:rFonts w:ascii="Times New Roman" w:eastAsia="Times New Roman" w:hAnsi="Times New Roman" w:cs="Times New Roman"/>
          <w:sz w:val="24"/>
          <w:szCs w:val="24"/>
          <w:lang w:val="en-GB" w:eastAsia="en-GB"/>
        </w:rPr>
        <w:t>Perizzites</w:t>
      </w:r>
      <w:proofErr w:type="spellEnd"/>
      <w:r w:rsidRPr="007F5029">
        <w:rPr>
          <w:rFonts w:ascii="Times New Roman" w:eastAsia="Times New Roman" w:hAnsi="Times New Roman" w:cs="Times New Roman"/>
          <w:sz w:val="24"/>
          <w:szCs w:val="24"/>
          <w:lang w:val="en-GB" w:eastAsia="en-GB"/>
        </w:rPr>
        <w:t xml:space="preserve"> into their hand; and they defeated ten thousand of them at </w:t>
      </w:r>
      <w:proofErr w:type="spellStart"/>
      <w:r w:rsidRPr="007F5029">
        <w:rPr>
          <w:rFonts w:ascii="Times New Roman" w:eastAsia="Times New Roman" w:hAnsi="Times New Roman" w:cs="Times New Roman"/>
          <w:sz w:val="24"/>
          <w:szCs w:val="24"/>
          <w:lang w:val="en-GB" w:eastAsia="en-GB"/>
        </w:rPr>
        <w:t>Bezek</w:t>
      </w:r>
      <w:proofErr w:type="spellEnd"/>
      <w:r w:rsidRPr="007F5029">
        <w:rPr>
          <w:rFonts w:ascii="Times New Roman" w:eastAsia="Times New Roman" w:hAnsi="Times New Roman" w:cs="Times New Roman"/>
          <w:sz w:val="24"/>
          <w:szCs w:val="24"/>
          <w:lang w:val="en-GB" w:eastAsia="en-GB"/>
        </w:rPr>
        <w:t xml:space="preserve"> (Judges 1:1-4).</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Taken literally, the book of Joshua states that Joshua conquered the whole land and yet Judges states that much of the land was unconquered.</w:t>
      </w:r>
    </w:p>
    <w:p w:rsidR="001A6C34" w:rsidRPr="00A4640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 xml:space="preserve">Similarly, Joshua affirms he </w:t>
      </w:r>
      <w:r w:rsidRPr="00A46409">
        <w:rPr>
          <w:rFonts w:ascii="Times New Roman" w:eastAsia="Times New Roman" w:hAnsi="Times New Roman" w:cs="Times New Roman"/>
          <w:sz w:val="24"/>
          <w:szCs w:val="24"/>
          <w:lang w:val="en-GB" w:eastAsia="en-GB"/>
        </w:rPr>
        <w:t>exterminated all the Canaanites in this region; repeatedly it states that Joshua left “no survivors” and “destroyed everything that breathed” in “the entire land” and “put all the inhabitants to the sword</w:t>
      </w:r>
      <w:r>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lang w:val="en-GB" w:eastAsia="en-GB"/>
        </w:rPr>
        <w:t xml:space="preserve">” Alongside these general claims, the text identifies several specific places and cities where Joshua exterminated everyone and left no survivors. These include Hebron (10:40), </w:t>
      </w:r>
      <w:proofErr w:type="spellStart"/>
      <w:r w:rsidRPr="00A46409">
        <w:rPr>
          <w:rFonts w:ascii="Times New Roman" w:eastAsia="Times New Roman" w:hAnsi="Times New Roman" w:cs="Times New Roman"/>
          <w:sz w:val="24"/>
          <w:szCs w:val="24"/>
          <w:lang w:val="en-GB" w:eastAsia="en-GB"/>
        </w:rPr>
        <w:t>Debir</w:t>
      </w:r>
      <w:proofErr w:type="spellEnd"/>
      <w:r w:rsidRPr="00A46409">
        <w:rPr>
          <w:rFonts w:ascii="Times New Roman" w:eastAsia="Times New Roman" w:hAnsi="Times New Roman" w:cs="Times New Roman"/>
          <w:sz w:val="24"/>
          <w:szCs w:val="24"/>
          <w:lang w:val="en-GB" w:eastAsia="en-GB"/>
        </w:rPr>
        <w:t xml:space="preserve"> (10:38), the hill country and the Negev and the western foothills (10:40). Yet in the first chapter of Judges we are told that the Canaanites lived in the Negev (1:9), in the hill country (1:9), in </w:t>
      </w:r>
      <w:proofErr w:type="spellStart"/>
      <w:r w:rsidRPr="00A46409">
        <w:rPr>
          <w:rFonts w:ascii="Times New Roman" w:eastAsia="Times New Roman" w:hAnsi="Times New Roman" w:cs="Times New Roman"/>
          <w:sz w:val="24"/>
          <w:szCs w:val="24"/>
          <w:lang w:val="en-GB" w:eastAsia="en-GB"/>
        </w:rPr>
        <w:t>Debir</w:t>
      </w:r>
      <w:proofErr w:type="spellEnd"/>
      <w:r w:rsidRPr="00A46409">
        <w:rPr>
          <w:rFonts w:ascii="Times New Roman" w:eastAsia="Times New Roman" w:hAnsi="Times New Roman" w:cs="Times New Roman"/>
          <w:sz w:val="24"/>
          <w:szCs w:val="24"/>
          <w:lang w:val="en-GB" w:eastAsia="en-GB"/>
        </w:rPr>
        <w:t xml:space="preserve"> (1:11), in Hebron (1:10) and in the western foothills (1:9). Moreover, they did so in such numbers and strength that they had to be driven out by force. These are the same cities that Joshua 10 tells us Joshua had annihilated and left no survivors in.</w:t>
      </w:r>
      <w:r w:rsidRPr="00A46409">
        <w:rPr>
          <w:rFonts w:ascii="Times New Roman" w:eastAsia="Times New Roman" w:hAnsi="Times New Roman" w:cs="Times New Roman"/>
          <w:sz w:val="24"/>
          <w:szCs w:val="24"/>
          <w:vertAlign w:val="superscript"/>
          <w:lang w:val="en-GB" w:eastAsia="en-GB"/>
        </w:rPr>
        <w:footnoteReference w:id="8"/>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lastRenderedPageBreak/>
        <w:tab/>
        <w:t xml:space="preserve">Likewise, Joshua </w:t>
      </w:r>
      <w:r w:rsidRPr="00A46409">
        <w:rPr>
          <w:rFonts w:ascii="Times New Roman" w:eastAsia="Times New Roman" w:hAnsi="Times New Roman" w:cs="Times New Roman"/>
          <w:sz w:val="24"/>
          <w:szCs w:val="24"/>
          <w:lang w:val="en-GB" w:eastAsia="en-GB"/>
        </w:rPr>
        <w:t xml:space="preserve">11:23 states that “Joshua took the entire land” and then “gave it as an inheritance to Israel according to their tribal divisions.”  Note: the conquered region is the </w:t>
      </w:r>
      <w:r w:rsidRPr="00A46409">
        <w:rPr>
          <w:rFonts w:ascii="Times New Roman" w:eastAsia="Times New Roman" w:hAnsi="Times New Roman" w:cs="Times New Roman"/>
          <w:i/>
          <w:sz w:val="24"/>
          <w:szCs w:val="24"/>
          <w:lang w:val="en-GB" w:eastAsia="en-GB"/>
        </w:rPr>
        <w:t>same land</w:t>
      </w:r>
      <w:r w:rsidRPr="00A46409">
        <w:rPr>
          <w:rFonts w:ascii="Times New Roman" w:eastAsia="Times New Roman" w:hAnsi="Times New Roman" w:cs="Times New Roman"/>
          <w:sz w:val="24"/>
          <w:szCs w:val="24"/>
          <w:lang w:val="en-GB" w:eastAsia="en-GB"/>
        </w:rPr>
        <w:t xml:space="preserve"> that is later divided between the Israelite tribes. </w:t>
      </w:r>
      <w:r w:rsidRPr="007F5029">
        <w:rPr>
          <w:rFonts w:ascii="Times New Roman" w:eastAsia="Times New Roman" w:hAnsi="Times New Roman" w:cs="Times New Roman"/>
          <w:sz w:val="24"/>
          <w:szCs w:val="24"/>
          <w:lang w:val="en-GB" w:eastAsia="en-GB"/>
        </w:rPr>
        <w:t xml:space="preserve">Only a chapter later, when the text turns to giving an account of these tribal divisions, the allotments begin with God telling Joshua, “You are very old, and there are still very large areas of land to be taken over” (Joshua 13:1). Moreover, when one examines the allotment given to Judah, we see Caleb asking permission to drive the </w:t>
      </w:r>
      <w:proofErr w:type="spellStart"/>
      <w:r w:rsidRPr="007F5029">
        <w:rPr>
          <w:rFonts w:ascii="Times New Roman" w:eastAsia="Times New Roman" w:hAnsi="Times New Roman" w:cs="Times New Roman"/>
          <w:sz w:val="24"/>
          <w:szCs w:val="24"/>
          <w:lang w:val="en-GB" w:eastAsia="en-GB"/>
        </w:rPr>
        <w:t>Anakites</w:t>
      </w:r>
      <w:proofErr w:type="spellEnd"/>
      <w:r w:rsidRPr="007F5029">
        <w:rPr>
          <w:rFonts w:ascii="Times New Roman" w:eastAsia="Times New Roman" w:hAnsi="Times New Roman" w:cs="Times New Roman"/>
          <w:sz w:val="24"/>
          <w:szCs w:val="24"/>
          <w:lang w:val="en-GB" w:eastAsia="en-GB"/>
        </w:rPr>
        <w:t xml:space="preserve"> from the hill countries (14:11) and we also hear how Caleb has to defeat </w:t>
      </w:r>
      <w:proofErr w:type="spellStart"/>
      <w:r w:rsidRPr="007F5029">
        <w:rPr>
          <w:rFonts w:ascii="Times New Roman" w:eastAsia="Times New Roman" w:hAnsi="Times New Roman" w:cs="Times New Roman"/>
          <w:sz w:val="24"/>
          <w:szCs w:val="24"/>
          <w:lang w:val="en-GB" w:eastAsia="en-GB"/>
        </w:rPr>
        <w:t>Anakites</w:t>
      </w:r>
      <w:proofErr w:type="spellEnd"/>
      <w:r w:rsidRPr="007F5029">
        <w:rPr>
          <w:rFonts w:ascii="Times New Roman" w:eastAsia="Times New Roman" w:hAnsi="Times New Roman" w:cs="Times New Roman"/>
          <w:sz w:val="24"/>
          <w:szCs w:val="24"/>
          <w:lang w:val="en-GB" w:eastAsia="en-GB"/>
        </w:rPr>
        <w:t xml:space="preserve"> living in Hebron and, after this, marches against the people “living in </w:t>
      </w:r>
      <w:proofErr w:type="spellStart"/>
      <w:r w:rsidRPr="007F5029">
        <w:rPr>
          <w:rFonts w:ascii="Times New Roman" w:eastAsia="Times New Roman" w:hAnsi="Times New Roman" w:cs="Times New Roman"/>
          <w:sz w:val="24"/>
          <w:szCs w:val="24"/>
          <w:lang w:val="en-GB" w:eastAsia="en-GB"/>
        </w:rPr>
        <w:t>Debir</w:t>
      </w:r>
      <w:proofErr w:type="spellEnd"/>
      <w:r w:rsidRPr="007F5029">
        <w:rPr>
          <w:rFonts w:ascii="Times New Roman" w:eastAsia="Times New Roman" w:hAnsi="Times New Roman" w:cs="Times New Roman"/>
          <w:sz w:val="24"/>
          <w:szCs w:val="24"/>
          <w:lang w:val="en-GB" w:eastAsia="en-GB"/>
        </w:rPr>
        <w:t>” (15:13-19).  Similarly, it is evident with several of the other allotments that the people were yet to drive out Canaanites entrenched in the area and that the Israelites were not always successful in doing so.</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 xml:space="preserve">We read, for example, that the </w:t>
      </w:r>
      <w:proofErr w:type="spellStart"/>
      <w:r w:rsidRPr="007F5029">
        <w:rPr>
          <w:rFonts w:ascii="Times New Roman" w:eastAsia="Times New Roman" w:hAnsi="Times New Roman" w:cs="Times New Roman"/>
          <w:sz w:val="24"/>
          <w:szCs w:val="24"/>
          <w:lang w:val="en-GB" w:eastAsia="en-GB"/>
        </w:rPr>
        <w:t>Ephraimites</w:t>
      </w:r>
      <w:proofErr w:type="spellEnd"/>
      <w:r w:rsidRPr="007F5029">
        <w:rPr>
          <w:rFonts w:ascii="Times New Roman" w:eastAsia="Times New Roman" w:hAnsi="Times New Roman" w:cs="Times New Roman"/>
          <w:sz w:val="24"/>
          <w:szCs w:val="24"/>
          <w:lang w:val="en-GB" w:eastAsia="en-GB"/>
        </w:rPr>
        <w:t xml:space="preserve"> and </w:t>
      </w:r>
      <w:proofErr w:type="spellStart"/>
      <w:r w:rsidRPr="007F5029">
        <w:rPr>
          <w:rFonts w:ascii="Times New Roman" w:eastAsia="Times New Roman" w:hAnsi="Times New Roman" w:cs="Times New Roman"/>
          <w:sz w:val="24"/>
          <w:szCs w:val="24"/>
          <w:lang w:val="en-GB" w:eastAsia="en-GB"/>
        </w:rPr>
        <w:t>Manassites</w:t>
      </w:r>
      <w:proofErr w:type="spellEnd"/>
      <w:r w:rsidRPr="007F5029">
        <w:rPr>
          <w:rFonts w:ascii="Times New Roman" w:eastAsia="Times New Roman" w:hAnsi="Times New Roman" w:cs="Times New Roman"/>
          <w:sz w:val="24"/>
          <w:szCs w:val="24"/>
          <w:lang w:val="en-GB" w:eastAsia="en-GB"/>
        </w:rPr>
        <w:t xml:space="preserve"> “did not dislodge the Canaanites living in Gezer; to this day the Canaanites live among the people of Ephraim” (16:10). Similarly, in chapter 17 it states, “Yet the </w:t>
      </w:r>
      <w:proofErr w:type="spellStart"/>
      <w:r w:rsidRPr="007F5029">
        <w:rPr>
          <w:rFonts w:ascii="Times New Roman" w:eastAsia="Times New Roman" w:hAnsi="Times New Roman" w:cs="Times New Roman"/>
          <w:sz w:val="24"/>
          <w:szCs w:val="24"/>
          <w:lang w:val="en-GB" w:eastAsia="en-GB"/>
        </w:rPr>
        <w:t>Manassites</w:t>
      </w:r>
      <w:proofErr w:type="spellEnd"/>
      <w:r w:rsidRPr="007F5029">
        <w:rPr>
          <w:rFonts w:ascii="Times New Roman" w:eastAsia="Times New Roman" w:hAnsi="Times New Roman" w:cs="Times New Roman"/>
          <w:sz w:val="24"/>
          <w:szCs w:val="24"/>
          <w:lang w:val="en-GB" w:eastAsia="en-GB"/>
        </w:rPr>
        <w:t xml:space="preserve"> were not able to occupy these towns, for the Canaanites were determined to live in that region. However, when the Israelites grew stronger, they subjected the Canaanites to forced </w:t>
      </w:r>
      <w:proofErr w:type="spellStart"/>
      <w:r w:rsidRPr="007F5029">
        <w:rPr>
          <w:rFonts w:ascii="Times New Roman" w:eastAsia="Times New Roman" w:hAnsi="Times New Roman" w:cs="Times New Roman"/>
          <w:sz w:val="24"/>
          <w:szCs w:val="24"/>
          <w:lang w:val="en-GB" w:eastAsia="en-GB"/>
        </w:rPr>
        <w:t>labor</w:t>
      </w:r>
      <w:proofErr w:type="spellEnd"/>
      <w:r w:rsidRPr="007F5029">
        <w:rPr>
          <w:rFonts w:ascii="Times New Roman" w:eastAsia="Times New Roman" w:hAnsi="Times New Roman" w:cs="Times New Roman"/>
          <w:sz w:val="24"/>
          <w:szCs w:val="24"/>
          <w:lang w:val="en-GB" w:eastAsia="en-GB"/>
        </w:rPr>
        <w:t xml:space="preserve"> but did not drive them out completely” (17:12-13). We hear that “</w:t>
      </w:r>
      <w:proofErr w:type="spellStart"/>
      <w:r w:rsidRPr="007F5029">
        <w:rPr>
          <w:rFonts w:ascii="Times New Roman" w:eastAsia="Times New Roman" w:hAnsi="Times New Roman" w:cs="Times New Roman"/>
          <w:sz w:val="24"/>
          <w:szCs w:val="24"/>
          <w:lang w:val="en-GB" w:eastAsia="en-GB"/>
        </w:rPr>
        <w:t>Danites</w:t>
      </w:r>
      <w:proofErr w:type="spellEnd"/>
      <w:r w:rsidRPr="007F5029">
        <w:rPr>
          <w:rFonts w:ascii="Times New Roman" w:eastAsia="Times New Roman" w:hAnsi="Times New Roman" w:cs="Times New Roman"/>
          <w:sz w:val="24"/>
          <w:szCs w:val="24"/>
          <w:lang w:val="en-GB" w:eastAsia="en-GB"/>
        </w:rPr>
        <w:t xml:space="preserve"> had difficulty taking possession of their territory, so they went up and attacked </w:t>
      </w:r>
      <w:proofErr w:type="spellStart"/>
      <w:r w:rsidRPr="007F5029">
        <w:rPr>
          <w:rFonts w:ascii="Times New Roman" w:eastAsia="Times New Roman" w:hAnsi="Times New Roman" w:cs="Times New Roman"/>
          <w:sz w:val="24"/>
          <w:szCs w:val="24"/>
          <w:lang w:val="en-GB" w:eastAsia="en-GB"/>
        </w:rPr>
        <w:t>Leshem</w:t>
      </w:r>
      <w:proofErr w:type="spellEnd"/>
      <w:r w:rsidRPr="007F5029">
        <w:rPr>
          <w:rFonts w:ascii="Times New Roman" w:eastAsia="Times New Roman" w:hAnsi="Times New Roman" w:cs="Times New Roman"/>
          <w:sz w:val="24"/>
          <w:szCs w:val="24"/>
          <w:lang w:val="en-GB" w:eastAsia="en-GB"/>
        </w:rPr>
        <w:t xml:space="preserve">, took it, put it to the sword and occupied it. They settled in </w:t>
      </w:r>
      <w:proofErr w:type="spellStart"/>
      <w:r w:rsidRPr="007F5029">
        <w:rPr>
          <w:rFonts w:ascii="Times New Roman" w:eastAsia="Times New Roman" w:hAnsi="Times New Roman" w:cs="Times New Roman"/>
          <w:sz w:val="24"/>
          <w:szCs w:val="24"/>
          <w:lang w:val="en-GB" w:eastAsia="en-GB"/>
        </w:rPr>
        <w:t>Leshem</w:t>
      </w:r>
      <w:proofErr w:type="spellEnd"/>
      <w:r w:rsidRPr="007F5029">
        <w:rPr>
          <w:rFonts w:ascii="Times New Roman" w:eastAsia="Times New Roman" w:hAnsi="Times New Roman" w:cs="Times New Roman"/>
          <w:sz w:val="24"/>
          <w:szCs w:val="24"/>
          <w:lang w:val="en-GB" w:eastAsia="en-GB"/>
        </w:rPr>
        <w:t xml:space="preserve"> and named it Dan after their forefather” (19:47). Here, we see the same land said to be subdued and conquered by Joshua in battles where he exterminated and left alive nothing that breathed. This land was yet to be occupied by the tribes of Israel and is occupied by Canaanites, often heavily armed and deeply entrenched (17:17-18).</w:t>
      </w:r>
      <w:r w:rsidRPr="00A46409">
        <w:rPr>
          <w:rFonts w:ascii="Times New Roman" w:eastAsia="Times New Roman" w:hAnsi="Times New Roman" w:cs="Times New Roman"/>
          <w:sz w:val="24"/>
          <w:szCs w:val="24"/>
          <w:vertAlign w:val="superscript"/>
          <w:lang w:val="en-GB" w:eastAsia="en-GB"/>
        </w:rPr>
        <w:footnoteReference w:id="9"/>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ab/>
      </w:r>
      <w:r w:rsidRPr="007F5029">
        <w:rPr>
          <w:rFonts w:ascii="Times New Roman" w:eastAsia="Times New Roman" w:hAnsi="Times New Roman" w:cs="Times New Roman"/>
          <w:sz w:val="24"/>
          <w:szCs w:val="24"/>
          <w:lang w:val="en-GB" w:eastAsia="en-GB"/>
        </w:rPr>
        <w:t>Finally, the account of what God commanded differs in the two narratives. Joshua asserts: “</w:t>
      </w:r>
      <w:r w:rsidRPr="00A46409">
        <w:rPr>
          <w:rFonts w:ascii="Times New Roman" w:eastAsia="Times New Roman" w:hAnsi="Times New Roman" w:cs="Times New Roman"/>
          <w:sz w:val="24"/>
          <w:szCs w:val="24"/>
          <w:lang w:val="en-GB" w:eastAsia="en-GB"/>
        </w:rPr>
        <w:t xml:space="preserve">He left no survivors. He totally destroyed all who breathed, </w:t>
      </w:r>
      <w:r w:rsidRPr="00A46409">
        <w:rPr>
          <w:rFonts w:ascii="Times New Roman" w:eastAsia="Times New Roman" w:hAnsi="Times New Roman" w:cs="Times New Roman"/>
          <w:i/>
          <w:iCs/>
          <w:sz w:val="24"/>
          <w:szCs w:val="24"/>
          <w:lang w:val="en-GB" w:eastAsia="en-GB"/>
        </w:rPr>
        <w:t xml:space="preserve">just as the </w:t>
      </w:r>
      <w:r w:rsidRPr="00A46409">
        <w:rPr>
          <w:rFonts w:ascii="Times New Roman" w:eastAsia="Times New Roman" w:hAnsi="Times New Roman" w:cs="Times New Roman"/>
          <w:i/>
          <w:iCs/>
          <w:smallCaps/>
          <w:sz w:val="24"/>
          <w:szCs w:val="24"/>
          <w:lang w:val="en-GB" w:eastAsia="en-GB"/>
        </w:rPr>
        <w:t>Lord</w:t>
      </w:r>
      <w:r w:rsidRPr="00A46409">
        <w:rPr>
          <w:rFonts w:ascii="Times New Roman" w:eastAsia="Times New Roman" w:hAnsi="Times New Roman" w:cs="Times New Roman"/>
          <w:i/>
          <w:iCs/>
          <w:sz w:val="24"/>
          <w:szCs w:val="24"/>
          <w:lang w:val="en-GB" w:eastAsia="en-GB"/>
        </w:rPr>
        <w:t>, the God of Israel, had commanded</w:t>
      </w:r>
      <w:r w:rsidRPr="00A46409">
        <w:rPr>
          <w:rFonts w:ascii="Times New Roman" w:eastAsia="Times New Roman" w:hAnsi="Times New Roman" w:cs="Times New Roman"/>
          <w:iCs/>
          <w:sz w:val="24"/>
          <w:szCs w:val="24"/>
          <w:lang w:val="en-GB" w:eastAsia="en-GB"/>
        </w:rPr>
        <w:t>”</w:t>
      </w:r>
      <w:r w:rsidRPr="00A46409">
        <w:rPr>
          <w:rFonts w:ascii="Times New Roman" w:eastAsia="Times New Roman" w:hAnsi="Times New Roman" w:cs="Times New Roman"/>
          <w:sz w:val="24"/>
          <w:szCs w:val="24"/>
          <w:lang w:val="en-GB" w:eastAsia="en-GB"/>
        </w:rPr>
        <w:t xml:space="preserve"> (10:40, my italics) and “exterminating them without mercy, as </w:t>
      </w:r>
      <w:r w:rsidRPr="00A46409">
        <w:rPr>
          <w:rFonts w:ascii="Times New Roman" w:eastAsia="Times New Roman" w:hAnsi="Times New Roman" w:cs="Times New Roman"/>
          <w:i/>
          <w:iCs/>
          <w:sz w:val="24"/>
          <w:szCs w:val="24"/>
          <w:lang w:val="en-GB" w:eastAsia="en-GB"/>
        </w:rPr>
        <w:t xml:space="preserve">the </w:t>
      </w:r>
      <w:r w:rsidRPr="00A46409">
        <w:rPr>
          <w:rFonts w:ascii="Times New Roman" w:eastAsia="Times New Roman" w:hAnsi="Times New Roman" w:cs="Times New Roman"/>
          <w:i/>
          <w:iCs/>
          <w:smallCaps/>
          <w:sz w:val="24"/>
          <w:szCs w:val="24"/>
          <w:lang w:val="en-GB" w:eastAsia="en-GB"/>
        </w:rPr>
        <w:t xml:space="preserve">Lord </w:t>
      </w:r>
      <w:r w:rsidRPr="00A46409">
        <w:rPr>
          <w:rFonts w:ascii="Times New Roman" w:eastAsia="Times New Roman" w:hAnsi="Times New Roman" w:cs="Times New Roman"/>
          <w:i/>
          <w:iCs/>
          <w:sz w:val="24"/>
          <w:szCs w:val="24"/>
          <w:lang w:val="en-GB" w:eastAsia="en-GB"/>
        </w:rPr>
        <w:t>had commanded Mose</w:t>
      </w:r>
      <w:r w:rsidRPr="00A46409">
        <w:rPr>
          <w:rFonts w:ascii="Times New Roman" w:eastAsia="Times New Roman" w:hAnsi="Times New Roman" w:cs="Times New Roman"/>
          <w:sz w:val="24"/>
          <w:szCs w:val="24"/>
          <w:lang w:val="en-GB" w:eastAsia="en-GB"/>
        </w:rPr>
        <w:t>s (11:20b, my italics). However, when this command is retroactively referred to in Judges 2:1, there is no mention of genocide or annihilation. Instead we hear of how God had promised to drive them out as well as his command to the Israelites to not to make treaties with the Canaanites and to destroy their shrines. This silence is significant in the context. If God had commanded genocide, then it is odd that only instructions concerning treaties and shrines were mentioned.</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 xml:space="preserve">Therefore, taken as a single narrative and taken literally, Joshua 1-11 gives a </w:t>
      </w:r>
      <w:r>
        <w:rPr>
          <w:rFonts w:ascii="Times New Roman" w:eastAsia="Times New Roman" w:hAnsi="Times New Roman" w:cs="Times New Roman"/>
          <w:sz w:val="24"/>
          <w:szCs w:val="24"/>
          <w:lang w:val="en-GB" w:eastAsia="en-GB"/>
        </w:rPr>
        <w:t xml:space="preserve">seemingly </w:t>
      </w:r>
      <w:r w:rsidRPr="007F5029">
        <w:rPr>
          <w:rFonts w:ascii="Times New Roman" w:eastAsia="Times New Roman" w:hAnsi="Times New Roman" w:cs="Times New Roman"/>
          <w:sz w:val="24"/>
          <w:szCs w:val="24"/>
          <w:lang w:val="en-GB" w:eastAsia="en-GB"/>
        </w:rPr>
        <w:t>different account of events to that narrated by Judges and also to that narrated by the later chapters of Joshua itself.</w:t>
      </w:r>
      <w:r>
        <w:rPr>
          <w:rStyle w:val="FootnoteReference"/>
          <w:rFonts w:ascii="Times New Roman" w:hAnsi="Times New Roman"/>
          <w:sz w:val="24"/>
          <w:szCs w:val="24"/>
          <w:lang w:val="en-GB" w:eastAsia="en-GB"/>
        </w:rPr>
        <w:footnoteReference w:id="10"/>
      </w:r>
      <w:r w:rsidRPr="007F5029">
        <w:rPr>
          <w:rFonts w:ascii="Times New Roman" w:eastAsia="Times New Roman" w:hAnsi="Times New Roman" w:cs="Times New Roman"/>
          <w:sz w:val="24"/>
          <w:szCs w:val="24"/>
          <w:lang w:val="en-GB" w:eastAsia="en-GB"/>
        </w:rPr>
        <w:t xml:space="preserve"> </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lastRenderedPageBreak/>
        <w:tab/>
        <w:t>Wolterstorff makes a further point,</w:t>
      </w:r>
    </w:p>
    <w:p w:rsidR="001A6C34" w:rsidRPr="007F5029" w:rsidRDefault="001A6C34" w:rsidP="001A6C34">
      <w:pPr>
        <w:spacing w:after="0" w:line="240" w:lineRule="auto"/>
        <w:ind w:left="72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Those whose occupation it is to try to determine the origins of these writings will suggest that the editors had contradictory records, oral traditions, and so forth to work with.  No doubt this is correct.  But those who edited the final version of these writings into one sequence were not mindless; they could see, as well as you and I can </w:t>
      </w:r>
      <w:proofErr w:type="gramStart"/>
      <w:r w:rsidRPr="007F5029">
        <w:rPr>
          <w:rFonts w:ascii="Times New Roman" w:eastAsia="Times New Roman" w:hAnsi="Times New Roman" w:cs="Times New Roman"/>
          <w:sz w:val="24"/>
          <w:szCs w:val="24"/>
          <w:lang w:val="en-GB" w:eastAsia="en-GB"/>
        </w:rPr>
        <w:t>see,</w:t>
      </w:r>
      <w:proofErr w:type="gramEnd"/>
      <w:r w:rsidRPr="007F5029">
        <w:rPr>
          <w:rFonts w:ascii="Times New Roman" w:eastAsia="Times New Roman" w:hAnsi="Times New Roman" w:cs="Times New Roman"/>
          <w:sz w:val="24"/>
          <w:szCs w:val="24"/>
          <w:lang w:val="en-GB" w:eastAsia="en-GB"/>
        </w:rPr>
        <w:t xml:space="preserve"> the tensions and contradictions – surface or real – that I have pointed to. So what is going on?</w:t>
      </w:r>
      <w:r w:rsidRPr="00A46409">
        <w:rPr>
          <w:rFonts w:ascii="Times New Roman" w:eastAsia="Times New Roman" w:hAnsi="Times New Roman" w:cs="Times New Roman"/>
          <w:sz w:val="24"/>
          <w:szCs w:val="24"/>
          <w:vertAlign w:val="superscript"/>
          <w:lang w:val="en-GB" w:eastAsia="en-GB"/>
        </w:rPr>
        <w:footnoteReference w:id="11"/>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point is that, regardless of what sources or strata of tradition are alleged behind the final form of Joshua, the </w:t>
      </w:r>
      <w:r>
        <w:rPr>
          <w:rFonts w:ascii="Times New Roman" w:eastAsia="Times New Roman" w:hAnsi="Times New Roman" w:cs="Times New Roman"/>
          <w:sz w:val="24"/>
          <w:szCs w:val="24"/>
          <w:lang w:val="en-GB" w:eastAsia="en-GB"/>
        </w:rPr>
        <w:t>editors</w:t>
      </w:r>
      <w:r w:rsidRPr="007F5029">
        <w:rPr>
          <w:rFonts w:ascii="Times New Roman" w:eastAsia="Times New Roman" w:hAnsi="Times New Roman" w:cs="Times New Roman"/>
          <w:sz w:val="24"/>
          <w:szCs w:val="24"/>
          <w:lang w:val="en-GB" w:eastAsia="en-GB"/>
        </w:rPr>
        <w:t xml:space="preserve"> who put these books into a single narrative would have been well aware of the obvious </w:t>
      </w:r>
      <w:r>
        <w:rPr>
          <w:rFonts w:ascii="Times New Roman" w:eastAsia="Times New Roman" w:hAnsi="Times New Roman" w:cs="Times New Roman"/>
          <w:sz w:val="24"/>
          <w:szCs w:val="24"/>
          <w:lang w:val="en-GB" w:eastAsia="en-GB"/>
        </w:rPr>
        <w:t xml:space="preserve">tensions in the passages </w:t>
      </w:r>
      <w:r w:rsidRPr="007F5029">
        <w:rPr>
          <w:rFonts w:ascii="Times New Roman" w:eastAsia="Times New Roman" w:hAnsi="Times New Roman" w:cs="Times New Roman"/>
          <w:sz w:val="24"/>
          <w:szCs w:val="24"/>
          <w:lang w:val="en-GB" w:eastAsia="en-GB"/>
        </w:rPr>
        <w:t xml:space="preserve">mentioned above. Moreover, </w:t>
      </w:r>
      <w:r>
        <w:rPr>
          <w:rFonts w:ascii="Times New Roman" w:eastAsia="Times New Roman" w:hAnsi="Times New Roman" w:cs="Times New Roman"/>
          <w:sz w:val="24"/>
          <w:szCs w:val="24"/>
          <w:lang w:val="en-GB" w:eastAsia="en-GB"/>
        </w:rPr>
        <w:t>they</w:t>
      </w:r>
      <w:r w:rsidRPr="007F5029">
        <w:rPr>
          <w:rFonts w:ascii="Times New Roman" w:eastAsia="Times New Roman" w:hAnsi="Times New Roman" w:cs="Times New Roman"/>
          <w:sz w:val="24"/>
          <w:szCs w:val="24"/>
          <w:lang w:val="en-GB" w:eastAsia="en-GB"/>
        </w:rPr>
        <w:t xml:space="preserve"> were not mindless or stupid. They would not want to affirm that both accounts were a literal description of what occurred. Yet they chose to put in the canon, next to Joshua, a book </w:t>
      </w:r>
      <w:r>
        <w:rPr>
          <w:rFonts w:ascii="Times New Roman" w:eastAsia="Times New Roman" w:hAnsi="Times New Roman" w:cs="Times New Roman"/>
          <w:sz w:val="24"/>
          <w:szCs w:val="24"/>
          <w:lang w:val="en-GB" w:eastAsia="en-GB"/>
        </w:rPr>
        <w:t>that</w:t>
      </w:r>
      <w:r w:rsidRPr="007F5029">
        <w:rPr>
          <w:rFonts w:ascii="Times New Roman" w:eastAsia="Times New Roman" w:hAnsi="Times New Roman" w:cs="Times New Roman"/>
          <w:sz w:val="24"/>
          <w:szCs w:val="24"/>
          <w:lang w:val="en-GB" w:eastAsia="en-GB"/>
        </w:rPr>
        <w:t xml:space="preserve"> began with a narration at odds with a literal reading of the early chapters of Joshua</w:t>
      </w:r>
      <w:r>
        <w:rPr>
          <w:rFonts w:ascii="Times New Roman" w:eastAsia="Times New Roman" w:hAnsi="Times New Roman" w:cs="Times New Roman"/>
          <w:sz w:val="24"/>
          <w:szCs w:val="24"/>
          <w:lang w:val="en-GB" w:eastAsia="en-GB"/>
        </w:rPr>
        <w:t xml:space="preserve">. Moreover, </w:t>
      </w:r>
      <w:r w:rsidRPr="007F5029">
        <w:rPr>
          <w:rFonts w:ascii="Times New Roman" w:eastAsia="Times New Roman" w:hAnsi="Times New Roman" w:cs="Times New Roman"/>
          <w:sz w:val="24"/>
          <w:szCs w:val="24"/>
          <w:lang w:val="en-GB" w:eastAsia="en-GB"/>
        </w:rPr>
        <w:t>th</w:t>
      </w:r>
      <w:r>
        <w:rPr>
          <w:rFonts w:ascii="Times New Roman" w:eastAsia="Times New Roman" w:hAnsi="Times New Roman" w:cs="Times New Roman"/>
          <w:sz w:val="24"/>
          <w:szCs w:val="24"/>
          <w:lang w:val="en-GB" w:eastAsia="en-GB"/>
        </w:rPr>
        <w:t>e author of Joshua</w:t>
      </w:r>
      <w:r w:rsidRPr="007F5029">
        <w:rPr>
          <w:rFonts w:ascii="Times New Roman" w:eastAsia="Times New Roman" w:hAnsi="Times New Roman" w:cs="Times New Roman"/>
          <w:sz w:val="24"/>
          <w:szCs w:val="24"/>
          <w:lang w:val="en-GB" w:eastAsia="en-GB"/>
        </w:rPr>
        <w:t xml:space="preserve"> chose to juxtapose the picture of Joshua 1-11 with the later chapters I mentioned above. The</w:t>
      </w:r>
      <w:r>
        <w:rPr>
          <w:rFonts w:ascii="Times New Roman" w:eastAsia="Times New Roman" w:hAnsi="Times New Roman" w:cs="Times New Roman"/>
          <w:sz w:val="24"/>
          <w:szCs w:val="24"/>
          <w:lang w:val="en-GB" w:eastAsia="en-GB"/>
        </w:rPr>
        <w:t xml:space="preserve">y </w:t>
      </w:r>
      <w:r w:rsidRPr="007F5029">
        <w:rPr>
          <w:rFonts w:ascii="Times New Roman" w:eastAsia="Times New Roman" w:hAnsi="Times New Roman" w:cs="Times New Roman"/>
          <w:sz w:val="24"/>
          <w:szCs w:val="24"/>
          <w:lang w:val="en-GB" w:eastAsia="en-GB"/>
        </w:rPr>
        <w:t>cannot</w:t>
      </w:r>
      <w:r>
        <w:rPr>
          <w:rFonts w:ascii="Times New Roman" w:eastAsia="Times New Roman" w:hAnsi="Times New Roman" w:cs="Times New Roman"/>
          <w:sz w:val="24"/>
          <w:szCs w:val="24"/>
          <w:lang w:val="en-GB" w:eastAsia="en-GB"/>
        </w:rPr>
        <w:t>,</w:t>
      </w:r>
      <w:r w:rsidRPr="007F5029">
        <w:rPr>
          <w:rFonts w:ascii="Times New Roman" w:eastAsia="Times New Roman" w:hAnsi="Times New Roman" w:cs="Times New Roman"/>
          <w:sz w:val="24"/>
          <w:szCs w:val="24"/>
          <w:lang w:val="en-GB" w:eastAsia="en-GB"/>
        </w:rPr>
        <w:t xml:space="preserve"> therefore</w:t>
      </w:r>
      <w:r>
        <w:rPr>
          <w:rFonts w:ascii="Times New Roman" w:eastAsia="Times New Roman" w:hAnsi="Times New Roman" w:cs="Times New Roman"/>
          <w:sz w:val="24"/>
          <w:szCs w:val="24"/>
          <w:lang w:val="en-GB" w:eastAsia="en-GB"/>
        </w:rPr>
        <w:t>,</w:t>
      </w:r>
      <w:r w:rsidRPr="007F5029">
        <w:rPr>
          <w:rFonts w:ascii="Times New Roman" w:eastAsia="Times New Roman" w:hAnsi="Times New Roman" w:cs="Times New Roman"/>
          <w:sz w:val="24"/>
          <w:szCs w:val="24"/>
          <w:lang w:val="en-GB" w:eastAsia="en-GB"/>
        </w:rPr>
        <w:t xml:space="preserve"> be asserting that both accounts are literally true.</w:t>
      </w:r>
    </w:p>
    <w:p w:rsidR="001A6C34" w:rsidRPr="00A46409" w:rsidRDefault="001A6C34" w:rsidP="001A6C34">
      <w:pPr>
        <w:tabs>
          <w:tab w:val="left" w:pos="540"/>
        </w:tabs>
        <w:spacing w:after="0" w:line="360" w:lineRule="auto"/>
        <w:ind w:right="-58"/>
        <w:rPr>
          <w:rFonts w:ascii="Times New Roman" w:eastAsia="Times New Roman" w:hAnsi="Times New Roman" w:cs="Times New Roman"/>
          <w:color w:val="000000"/>
          <w:sz w:val="24"/>
          <w:szCs w:val="24"/>
          <w:lang w:val="en-GB" w:eastAsia="en-GB"/>
        </w:rPr>
      </w:pPr>
      <w:r w:rsidRPr="007F5029">
        <w:rPr>
          <w:rFonts w:ascii="Times New Roman" w:eastAsia="Times New Roman" w:hAnsi="Times New Roman" w:cs="Times New Roman"/>
          <w:color w:val="000000"/>
          <w:sz w:val="24"/>
          <w:szCs w:val="24"/>
          <w:lang w:val="en-GB" w:eastAsia="en-GB"/>
        </w:rPr>
        <w:tab/>
        <w:t xml:space="preserve">I think Wolterstorff is right on this.  However, his position could be strengthened on theological grounds.  In </w:t>
      </w:r>
      <w:r w:rsidRPr="007F5029">
        <w:rPr>
          <w:rFonts w:ascii="Times New Roman" w:eastAsia="Times New Roman" w:hAnsi="Times New Roman" w:cs="Times New Roman"/>
          <w:i/>
          <w:color w:val="000000"/>
          <w:sz w:val="24"/>
          <w:szCs w:val="24"/>
          <w:lang w:val="en-GB" w:eastAsia="en-GB"/>
        </w:rPr>
        <w:t>Divine Discourse: Philosophical Reflections on the Claim that God Speaks,</w:t>
      </w:r>
      <w:r w:rsidRPr="007F5029">
        <w:rPr>
          <w:rFonts w:ascii="Times New Roman" w:eastAsia="Times New Roman" w:hAnsi="Times New Roman" w:cs="Times New Roman"/>
          <w:color w:val="000000"/>
          <w:sz w:val="24"/>
          <w:szCs w:val="24"/>
          <w:lang w:val="en-GB" w:eastAsia="en-GB"/>
        </w:rPr>
        <w:t xml:space="preserve"> Wolterstorff provides an interesting and rigorous analysis of the notion that Scripture is the Word of God. Central to his analysis is that “</w:t>
      </w:r>
      <w:r w:rsidRPr="00A46409">
        <w:rPr>
          <w:rFonts w:ascii="Times New Roman" w:eastAsia="Times New Roman" w:hAnsi="Times New Roman" w:cs="Times New Roman"/>
          <w:color w:val="000000"/>
          <w:sz w:val="24"/>
          <w:szCs w:val="24"/>
          <w:lang w:val="en-GB" w:eastAsia="en-GB"/>
        </w:rPr>
        <w:t xml:space="preserve">an eminently plausible construal of the process whereby these books found their way into a single canonical </w:t>
      </w:r>
      <w:proofErr w:type="gramStart"/>
      <w:r w:rsidRPr="00A46409">
        <w:rPr>
          <w:rFonts w:ascii="Times New Roman" w:eastAsia="Times New Roman" w:hAnsi="Times New Roman" w:cs="Times New Roman"/>
          <w:color w:val="000000"/>
          <w:sz w:val="24"/>
          <w:szCs w:val="24"/>
          <w:lang w:val="en-GB" w:eastAsia="en-GB"/>
        </w:rPr>
        <w:t>text,</w:t>
      </w:r>
      <w:proofErr w:type="gramEnd"/>
      <w:r w:rsidRPr="00A46409">
        <w:rPr>
          <w:rFonts w:ascii="Times New Roman" w:eastAsia="Times New Roman" w:hAnsi="Times New Roman" w:cs="Times New Roman"/>
          <w:color w:val="000000"/>
          <w:sz w:val="24"/>
          <w:szCs w:val="24"/>
          <w:lang w:val="en-GB" w:eastAsia="en-GB"/>
        </w:rPr>
        <w:t xml:space="preserve"> would be that by way of that process of canonization, God was authorizing these books as together constituting a single volume of divine discourse.”</w:t>
      </w:r>
      <w:r w:rsidRPr="00A46409">
        <w:rPr>
          <w:rFonts w:ascii="Times New Roman" w:eastAsia="Times New Roman" w:hAnsi="Times New Roman" w:cs="Times New Roman"/>
          <w:color w:val="000000"/>
          <w:sz w:val="24"/>
          <w:szCs w:val="24"/>
          <w:vertAlign w:val="superscript"/>
          <w:lang w:val="en-GB" w:eastAsia="en-GB"/>
        </w:rPr>
        <w:footnoteReference w:id="12"/>
      </w:r>
    </w:p>
    <w:p w:rsidR="001A6C34" w:rsidRDefault="001A6C34" w:rsidP="001A6C34">
      <w:pPr>
        <w:spacing w:after="0" w:line="360" w:lineRule="auto"/>
        <w:ind w:right="-58"/>
        <w:rPr>
          <w:rStyle w:val="CommentReference"/>
          <w:rFonts w:ascii="Palatino Linotype" w:eastAsia="Times New Roman" w:hAnsi="Palatino Linotype" w:cs="Times New Roman"/>
          <w:lang w:eastAsia="ar-SA"/>
        </w:rPr>
      </w:pPr>
      <w:r w:rsidRPr="00A46409">
        <w:rPr>
          <w:rFonts w:ascii="Times New Roman" w:eastAsia="Times New Roman" w:hAnsi="Times New Roman" w:cs="Times New Roman"/>
          <w:color w:val="000000"/>
          <w:sz w:val="24"/>
          <w:szCs w:val="24"/>
          <w:lang w:val="en-GB" w:eastAsia="en-GB"/>
        </w:rPr>
        <w:tab/>
        <w:t>This understanding of Scripture provides</w:t>
      </w:r>
      <w:r w:rsidRPr="007F5029">
        <w:rPr>
          <w:rFonts w:ascii="Times New Roman" w:eastAsia="Times New Roman" w:hAnsi="Times New Roman" w:cs="Times New Roman"/>
          <w:color w:val="000000"/>
          <w:sz w:val="24"/>
          <w:szCs w:val="24"/>
          <w:lang w:val="en-GB" w:eastAsia="en-GB"/>
        </w:rPr>
        <w:t xml:space="preserve"> the theological justification for reading the text as a single series. By examining what was affirmed in Judges and in later passages of Joshua, one can determine what the author of the early chapters of Joshua intended.</w:t>
      </w:r>
      <w:r w:rsidRPr="00A46409">
        <w:rPr>
          <w:rFonts w:ascii="Times New Roman" w:eastAsia="Times New Roman" w:hAnsi="Times New Roman" w:cs="Times New Roman"/>
          <w:color w:val="000000"/>
          <w:sz w:val="24"/>
          <w:szCs w:val="24"/>
          <w:vertAlign w:val="superscript"/>
          <w:lang w:val="en-GB" w:eastAsia="en-GB"/>
        </w:rPr>
        <w:footnoteReference w:id="13"/>
      </w:r>
      <w:r w:rsidRPr="007F5029">
        <w:rPr>
          <w:rFonts w:ascii="Times New Roman" w:eastAsia="Times New Roman" w:hAnsi="Times New Roman" w:cs="Times New Roman"/>
          <w:color w:val="000000"/>
          <w:sz w:val="24"/>
          <w:szCs w:val="24"/>
          <w:lang w:val="en-GB" w:eastAsia="en-GB"/>
        </w:rPr>
        <w:t xml:space="preserve"> Moreover, if the </w:t>
      </w:r>
      <w:r w:rsidRPr="007F5029">
        <w:rPr>
          <w:rFonts w:ascii="Times New Roman" w:eastAsia="Times New Roman" w:hAnsi="Times New Roman" w:cs="Times New Roman"/>
          <w:color w:val="000000"/>
          <w:sz w:val="24"/>
          <w:szCs w:val="24"/>
          <w:lang w:val="en-GB" w:eastAsia="en-GB"/>
        </w:rPr>
        <w:lastRenderedPageBreak/>
        <w:t>primary author of Scripture is God, then obviously the primary author of the final canonical text is unlikely to have deliberately (or accidentally) authored an obviously contradictory narrative. Hence, even if the contradictions were not obvious to th</w:t>
      </w:r>
      <w:r>
        <w:rPr>
          <w:rFonts w:ascii="Times New Roman" w:eastAsia="Times New Roman" w:hAnsi="Times New Roman" w:cs="Times New Roman"/>
          <w:color w:val="000000"/>
          <w:sz w:val="24"/>
          <w:szCs w:val="24"/>
          <w:lang w:val="en-GB" w:eastAsia="en-GB"/>
        </w:rPr>
        <w:t>e</w:t>
      </w:r>
      <w:r w:rsidRPr="007F5029">
        <w:rPr>
          <w:rFonts w:ascii="Times New Roman" w:eastAsia="Times New Roman" w:hAnsi="Times New Roman" w:cs="Times New Roman"/>
          <w:color w:val="000000"/>
          <w:sz w:val="24"/>
          <w:szCs w:val="24"/>
          <w:lang w:val="en-GB" w:eastAsia="en-GB"/>
        </w:rPr>
        <w:t xml:space="preserve"> </w:t>
      </w:r>
      <w:r>
        <w:rPr>
          <w:rFonts w:ascii="Times New Roman" w:eastAsia="Times New Roman" w:hAnsi="Times New Roman" w:cs="Times New Roman"/>
          <w:color w:val="000000"/>
          <w:sz w:val="24"/>
          <w:szCs w:val="24"/>
          <w:lang w:val="en-GB" w:eastAsia="en-GB"/>
        </w:rPr>
        <w:t>authors</w:t>
      </w:r>
      <w:r w:rsidRPr="007F5029">
        <w:rPr>
          <w:rFonts w:ascii="Times New Roman" w:eastAsia="Times New Roman" w:hAnsi="Times New Roman" w:cs="Times New Roman"/>
          <w:color w:val="000000"/>
          <w:sz w:val="24"/>
          <w:szCs w:val="24"/>
          <w:lang w:val="en-GB" w:eastAsia="en-GB"/>
        </w:rPr>
        <w:t xml:space="preserve"> (and I think Wolterstorff correctly infers that these apparent contradictions would have been),</w:t>
      </w:r>
      <w:r w:rsidRPr="00A46409">
        <w:rPr>
          <w:rFonts w:ascii="Times New Roman" w:eastAsia="Times New Roman" w:hAnsi="Times New Roman" w:cs="Times New Roman"/>
          <w:color w:val="000000"/>
          <w:sz w:val="24"/>
          <w:szCs w:val="24"/>
          <w:vertAlign w:val="superscript"/>
          <w:lang w:val="en-GB" w:eastAsia="en-GB"/>
        </w:rPr>
        <w:footnoteReference w:id="14"/>
      </w:r>
      <w:r w:rsidRPr="007F5029">
        <w:rPr>
          <w:rFonts w:ascii="Times New Roman" w:eastAsia="Times New Roman" w:hAnsi="Times New Roman" w:cs="Times New Roman"/>
          <w:color w:val="000000"/>
          <w:sz w:val="24"/>
          <w:szCs w:val="24"/>
          <w:lang w:val="en-GB" w:eastAsia="en-GB"/>
        </w:rPr>
        <w:t xml:space="preserve"> they would be evident to God. Given that the process whereby the</w:t>
      </w:r>
      <w:r>
        <w:rPr>
          <w:rFonts w:ascii="Times New Roman" w:eastAsia="Times New Roman" w:hAnsi="Times New Roman" w:cs="Times New Roman"/>
          <w:color w:val="000000"/>
          <w:sz w:val="24"/>
          <w:szCs w:val="24"/>
          <w:lang w:val="en-GB" w:eastAsia="en-GB"/>
        </w:rPr>
        <w:t>se</w:t>
      </w:r>
      <w:r w:rsidRPr="007F5029">
        <w:rPr>
          <w:rFonts w:ascii="Times New Roman" w:eastAsia="Times New Roman" w:hAnsi="Times New Roman" w:cs="Times New Roman"/>
          <w:color w:val="000000"/>
          <w:sz w:val="24"/>
          <w:szCs w:val="24"/>
          <w:lang w:val="en-GB" w:eastAsia="en-GB"/>
        </w:rPr>
        <w:t xml:space="preserve"> </w:t>
      </w:r>
      <w:r>
        <w:rPr>
          <w:rFonts w:ascii="Times New Roman" w:eastAsia="Times New Roman" w:hAnsi="Times New Roman" w:cs="Times New Roman"/>
          <w:color w:val="000000"/>
          <w:sz w:val="24"/>
          <w:szCs w:val="24"/>
          <w:lang w:val="en-GB" w:eastAsia="en-GB"/>
        </w:rPr>
        <w:t>books were</w:t>
      </w:r>
      <w:r w:rsidRPr="007F5029">
        <w:rPr>
          <w:rFonts w:ascii="Times New Roman" w:eastAsia="Times New Roman" w:hAnsi="Times New Roman" w:cs="Times New Roman"/>
          <w:color w:val="000000"/>
          <w:sz w:val="24"/>
          <w:szCs w:val="24"/>
          <w:lang w:val="en-GB" w:eastAsia="en-GB"/>
        </w:rPr>
        <w:t xml:space="preserve"> incorporated into a </w:t>
      </w:r>
      <w:r w:rsidRPr="00A46409">
        <w:rPr>
          <w:rFonts w:ascii="Times New Roman" w:eastAsia="Times New Roman" w:hAnsi="Times New Roman" w:cs="Times New Roman"/>
          <w:color w:val="000000"/>
          <w:sz w:val="24"/>
          <w:szCs w:val="24"/>
          <w:lang w:val="en-GB" w:eastAsia="en-GB"/>
        </w:rPr>
        <w:t>“single canonical text” constitutes God authorizing them, this process cannot have involved th</w:t>
      </w:r>
      <w:r>
        <w:rPr>
          <w:rFonts w:ascii="Times New Roman" w:eastAsia="Times New Roman" w:hAnsi="Times New Roman" w:cs="Times New Roman"/>
          <w:color w:val="000000"/>
          <w:sz w:val="24"/>
          <w:szCs w:val="24"/>
          <w:lang w:val="en-GB" w:eastAsia="en-GB"/>
        </w:rPr>
        <w:t xml:space="preserve">e authorisation of a text that affirms, as </w:t>
      </w:r>
      <w:r w:rsidRPr="00A46409">
        <w:rPr>
          <w:rFonts w:ascii="Times New Roman" w:eastAsia="Times New Roman" w:hAnsi="Times New Roman" w:cs="Times New Roman"/>
          <w:color w:val="000000"/>
          <w:sz w:val="24"/>
          <w:szCs w:val="24"/>
          <w:lang w:val="en-GB" w:eastAsia="en-GB"/>
        </w:rPr>
        <w:t>literally true</w:t>
      </w:r>
      <w:r>
        <w:rPr>
          <w:rFonts w:ascii="Times New Roman" w:eastAsia="Times New Roman" w:hAnsi="Times New Roman" w:cs="Times New Roman"/>
          <w:color w:val="000000"/>
          <w:sz w:val="24"/>
          <w:szCs w:val="24"/>
          <w:lang w:val="en-GB" w:eastAsia="en-GB"/>
        </w:rPr>
        <w:t>,</w:t>
      </w:r>
      <w:r w:rsidRPr="00A46409">
        <w:rPr>
          <w:rFonts w:ascii="Times New Roman" w:eastAsia="Times New Roman" w:hAnsi="Times New Roman" w:cs="Times New Roman"/>
          <w:color w:val="000000"/>
          <w:sz w:val="24"/>
          <w:szCs w:val="24"/>
          <w:lang w:val="en-GB" w:eastAsia="en-GB"/>
        </w:rPr>
        <w:t xml:space="preserve"> two </w:t>
      </w:r>
      <w:r w:rsidRPr="00A46409">
        <w:rPr>
          <w:rFonts w:ascii="Times New Roman" w:eastAsia="Times New Roman" w:hAnsi="Times New Roman" w:cs="Times New Roman"/>
          <w:color w:val="000000"/>
          <w:sz w:val="24"/>
          <w:szCs w:val="24"/>
          <w:lang w:val="en-GB" w:eastAsia="en-GB"/>
        </w:rPr>
        <w:t xml:space="preserve">contradictory </w:t>
      </w:r>
      <w:r>
        <w:rPr>
          <w:rFonts w:ascii="Times New Roman" w:eastAsia="Times New Roman" w:hAnsi="Times New Roman" w:cs="Times New Roman"/>
          <w:color w:val="000000"/>
          <w:sz w:val="24"/>
          <w:szCs w:val="24"/>
          <w:lang w:val="en-GB" w:eastAsia="en-GB"/>
        </w:rPr>
        <w:t>accounts.</w:t>
      </w:r>
    </w:p>
    <w:p w:rsidR="001A6C34" w:rsidRPr="007F5029" w:rsidRDefault="001A6C34" w:rsidP="001A6C34">
      <w:pPr>
        <w:spacing w:after="0" w:line="360" w:lineRule="auto"/>
        <w:ind w:right="-58"/>
        <w:rPr>
          <w:rFonts w:ascii="Times New Roman" w:eastAsia="Times New Roman" w:hAnsi="Times New Roman" w:cs="Times New Roman"/>
          <w:sz w:val="24"/>
          <w:szCs w:val="24"/>
          <w:lang w:val="en-GB" w:eastAsia="en-GB"/>
        </w:rPr>
      </w:pPr>
      <w:r>
        <w:rPr>
          <w:rFonts w:ascii="Times New Roman" w:eastAsia="Times New Roman" w:hAnsi="Times New Roman" w:cs="Times New Roman"/>
          <w:color w:val="000000"/>
          <w:sz w:val="24"/>
          <w:szCs w:val="24"/>
          <w:lang w:val="en-GB" w:eastAsia="en-GB"/>
        </w:rPr>
        <w:tab/>
      </w:r>
      <w:r w:rsidRPr="007F5029">
        <w:rPr>
          <w:rFonts w:ascii="Times New Roman" w:eastAsia="Times New Roman" w:hAnsi="Times New Roman" w:cs="Times New Roman"/>
          <w:color w:val="000000"/>
          <w:sz w:val="24"/>
          <w:szCs w:val="24"/>
          <w:lang w:val="en-GB" w:eastAsia="en-GB"/>
        </w:rPr>
        <w:t xml:space="preserve">It may be contended that an appeal to divine authorship in this way begs the question, but I think this is mistaken. As I understand the objection, the </w:t>
      </w:r>
      <w:proofErr w:type="spellStart"/>
      <w:r w:rsidRPr="007F5029">
        <w:rPr>
          <w:rFonts w:ascii="Times New Roman" w:eastAsia="Times New Roman" w:hAnsi="Times New Roman" w:cs="Times New Roman"/>
          <w:color w:val="000000"/>
          <w:sz w:val="24"/>
          <w:szCs w:val="24"/>
          <w:lang w:val="en-GB" w:eastAsia="en-GB"/>
        </w:rPr>
        <w:t>skeptic</w:t>
      </w:r>
      <w:proofErr w:type="spellEnd"/>
      <w:r w:rsidRPr="007F5029">
        <w:rPr>
          <w:rFonts w:ascii="Times New Roman" w:eastAsia="Times New Roman" w:hAnsi="Times New Roman" w:cs="Times New Roman"/>
          <w:color w:val="000000"/>
          <w:sz w:val="24"/>
          <w:szCs w:val="24"/>
          <w:lang w:val="en-GB" w:eastAsia="en-GB"/>
        </w:rPr>
        <w:t xml:space="preserve"> who claims that</w:t>
      </w:r>
      <w:r w:rsidRPr="007F5029">
        <w:rPr>
          <w:rFonts w:ascii="Times New Roman" w:eastAsia="Times New Roman" w:hAnsi="Times New Roman" w:cs="Times New Roman"/>
          <w:color w:val="FF0000"/>
          <w:sz w:val="24"/>
          <w:szCs w:val="24"/>
          <w:lang w:val="en-GB" w:eastAsia="en-GB"/>
        </w:rPr>
        <w:t xml:space="preserve"> </w:t>
      </w:r>
      <w:r w:rsidRPr="007F5029">
        <w:rPr>
          <w:rFonts w:ascii="Times New Roman" w:eastAsia="Times New Roman" w:hAnsi="Times New Roman" w:cs="Times New Roman"/>
          <w:color w:val="000000"/>
          <w:sz w:val="24"/>
          <w:szCs w:val="24"/>
          <w:lang w:val="en-GB" w:eastAsia="en-GB"/>
        </w:rPr>
        <w:t xml:space="preserve">God commanded genocide is offering a </w:t>
      </w:r>
      <w:proofErr w:type="spellStart"/>
      <w:r w:rsidRPr="007F5029">
        <w:rPr>
          <w:rFonts w:ascii="Times New Roman" w:eastAsia="Times New Roman" w:hAnsi="Times New Roman" w:cs="Times New Roman"/>
          <w:i/>
          <w:iCs/>
          <w:color w:val="000000"/>
          <w:sz w:val="24"/>
          <w:szCs w:val="24"/>
          <w:lang w:val="en-GB" w:eastAsia="en-GB"/>
        </w:rPr>
        <w:t>reductio</w:t>
      </w:r>
      <w:proofErr w:type="spellEnd"/>
      <w:r w:rsidRPr="007F5029">
        <w:rPr>
          <w:rFonts w:ascii="Times New Roman" w:eastAsia="Times New Roman" w:hAnsi="Times New Roman" w:cs="Times New Roman"/>
          <w:i/>
          <w:iCs/>
          <w:color w:val="000000"/>
          <w:sz w:val="24"/>
          <w:szCs w:val="24"/>
          <w:lang w:val="en-GB" w:eastAsia="en-GB"/>
        </w:rPr>
        <w:t xml:space="preserve"> ad absurdum</w:t>
      </w:r>
      <w:r w:rsidRPr="007F5029">
        <w:rPr>
          <w:rFonts w:ascii="Times New Roman" w:eastAsia="Times New Roman" w:hAnsi="Times New Roman" w:cs="Times New Roman"/>
          <w:color w:val="000000"/>
          <w:sz w:val="24"/>
          <w:szCs w:val="24"/>
          <w:lang w:val="en-GB" w:eastAsia="en-GB"/>
        </w:rPr>
        <w:t xml:space="preserve">; she starts by assuming that whatever God commands is right and that Scripture is the Word of God and then derives from these assumptions the absurd conclusion that genocide is not wrong.  The question then is whether, </w:t>
      </w:r>
      <w:r w:rsidRPr="007F5029">
        <w:rPr>
          <w:rFonts w:ascii="Times New Roman" w:eastAsia="Times New Roman" w:hAnsi="Times New Roman" w:cs="Times New Roman"/>
          <w:i/>
          <w:iCs/>
          <w:color w:val="000000"/>
          <w:sz w:val="24"/>
          <w:szCs w:val="24"/>
          <w:lang w:val="en-GB" w:eastAsia="en-GB"/>
        </w:rPr>
        <w:t>granting these assumptions</w:t>
      </w:r>
      <w:r w:rsidRPr="007F5029">
        <w:rPr>
          <w:rFonts w:ascii="Times New Roman" w:eastAsia="Times New Roman" w:hAnsi="Times New Roman" w:cs="Times New Roman"/>
          <w:color w:val="000000"/>
          <w:sz w:val="24"/>
          <w:szCs w:val="24"/>
          <w:lang w:val="en-GB" w:eastAsia="en-GB"/>
        </w:rPr>
        <w:t xml:space="preserve">, such a conclusion does, in fact, follow.  If Scripture is a unified </w:t>
      </w:r>
      <w:r w:rsidRPr="007F5029">
        <w:rPr>
          <w:rFonts w:ascii="Times New Roman" w:eastAsia="Times New Roman" w:hAnsi="Times New Roman" w:cs="Times New Roman"/>
          <w:color w:val="000000"/>
          <w:sz w:val="24"/>
          <w:szCs w:val="24"/>
          <w:lang w:val="en-GB" w:eastAsia="en-GB"/>
        </w:rPr>
        <w:lastRenderedPageBreak/>
        <w:t xml:space="preserve">divine discourse, the </w:t>
      </w:r>
      <w:proofErr w:type="spellStart"/>
      <w:r w:rsidRPr="007F5029">
        <w:rPr>
          <w:rFonts w:ascii="Times New Roman" w:eastAsia="Times New Roman" w:hAnsi="Times New Roman" w:cs="Times New Roman"/>
          <w:color w:val="000000"/>
          <w:sz w:val="24"/>
          <w:szCs w:val="24"/>
          <w:lang w:val="en-GB" w:eastAsia="en-GB"/>
        </w:rPr>
        <w:t>skeptic’s</w:t>
      </w:r>
      <w:proofErr w:type="spellEnd"/>
      <w:r w:rsidRPr="007F5029">
        <w:rPr>
          <w:rFonts w:ascii="Times New Roman" w:eastAsia="Times New Roman" w:hAnsi="Times New Roman" w:cs="Times New Roman"/>
          <w:color w:val="000000"/>
          <w:sz w:val="24"/>
          <w:szCs w:val="24"/>
          <w:lang w:val="en-GB" w:eastAsia="en-GB"/>
        </w:rPr>
        <w:t xml:space="preserve"> conclusion need not follow for another assumption of the </w:t>
      </w:r>
      <w:proofErr w:type="spellStart"/>
      <w:r w:rsidRPr="007F5029">
        <w:rPr>
          <w:rFonts w:ascii="Times New Roman" w:eastAsia="Times New Roman" w:hAnsi="Times New Roman" w:cs="Times New Roman"/>
          <w:color w:val="000000"/>
          <w:sz w:val="24"/>
          <w:szCs w:val="24"/>
          <w:lang w:val="en-GB" w:eastAsia="en-GB"/>
        </w:rPr>
        <w:t>skeptic</w:t>
      </w:r>
      <w:proofErr w:type="spellEnd"/>
      <w:r w:rsidRPr="007F5029">
        <w:rPr>
          <w:rFonts w:ascii="Times New Roman" w:eastAsia="Times New Roman" w:hAnsi="Times New Roman" w:cs="Times New Roman"/>
          <w:color w:val="000000"/>
          <w:sz w:val="24"/>
          <w:szCs w:val="24"/>
          <w:lang w:val="en-GB" w:eastAsia="en-GB"/>
        </w:rPr>
        <w:t>—namely, that all accounts were intended to be taken as literal—is not evidently true.</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At this point Wolterstorff raises a further issue about the type of literature Joshua appears to be. He notes that the early chapters of Judges, by and large, read like “down-to-earth history.” However, he continues, anyone carefully reading the book of Joshua will recognize in it certain stylistic renderings— “formulaic phrasings” and “formulaic convention[s]”</w:t>
      </w:r>
      <w:r w:rsidRPr="00A46409">
        <w:rPr>
          <w:rFonts w:ascii="Times New Roman" w:eastAsia="Times New Roman" w:hAnsi="Times New Roman" w:cs="Times New Roman"/>
          <w:sz w:val="24"/>
          <w:szCs w:val="24"/>
          <w:vertAlign w:val="superscript"/>
          <w:lang w:val="en-GB" w:eastAsia="en-GB"/>
        </w:rPr>
        <w:footnoteReference w:id="15"/>
      </w:r>
      <w:r w:rsidRPr="007F5029">
        <w:rPr>
          <w:rFonts w:ascii="Times New Roman" w:eastAsia="Times New Roman" w:hAnsi="Times New Roman" w:cs="Times New Roman"/>
          <w:sz w:val="24"/>
          <w:szCs w:val="24"/>
          <w:lang w:val="en-GB" w:eastAsia="en-GB"/>
        </w:rPr>
        <w:t xml:space="preserve"> as well as “the highly ritualized character of some of the major events described.”</w:t>
      </w:r>
      <w:r w:rsidRPr="00A46409">
        <w:rPr>
          <w:rFonts w:ascii="Times New Roman" w:eastAsia="Times New Roman" w:hAnsi="Times New Roman" w:cs="Times New Roman"/>
          <w:sz w:val="24"/>
          <w:szCs w:val="24"/>
          <w:vertAlign w:val="superscript"/>
          <w:lang w:val="en-GB" w:eastAsia="en-GB"/>
        </w:rPr>
        <w:footnoteReference w:id="16"/>
      </w:r>
      <w:r w:rsidRPr="007F5029">
        <w:rPr>
          <w:rFonts w:ascii="Times New Roman" w:eastAsia="Times New Roman" w:hAnsi="Times New Roman" w:cs="Times New Roman"/>
          <w:sz w:val="24"/>
          <w:szCs w:val="24"/>
          <w:lang w:val="en-GB" w:eastAsia="en-GB"/>
        </w:rPr>
        <w:t xml:space="preserve"> </w:t>
      </w:r>
    </w:p>
    <w:p w:rsidR="001A6C34" w:rsidRPr="007F5029" w:rsidRDefault="001A6C34" w:rsidP="001A6C34">
      <w:pPr>
        <w:tabs>
          <w:tab w:val="left" w:pos="540"/>
        </w:tabs>
        <w:spacing w:after="0" w:line="240" w:lineRule="auto"/>
        <w:ind w:left="54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The book is framed by its opening narration of the ritualized crossing of the Jordan and by its closing narration of the equally-ritualized ceremony of blessing and cursing that took place at </w:t>
      </w:r>
      <w:proofErr w:type="spellStart"/>
      <w:r w:rsidRPr="007F5029">
        <w:rPr>
          <w:rFonts w:ascii="Times New Roman" w:eastAsia="Times New Roman" w:hAnsi="Times New Roman" w:cs="Times New Roman"/>
          <w:sz w:val="24"/>
          <w:szCs w:val="24"/>
          <w:lang w:val="en-GB" w:eastAsia="en-GB"/>
        </w:rPr>
        <w:t>Shechem</w:t>
      </w:r>
      <w:proofErr w:type="spellEnd"/>
      <w:r w:rsidRPr="007F5029">
        <w:rPr>
          <w:rFonts w:ascii="Times New Roman" w:eastAsia="Times New Roman" w:hAnsi="Times New Roman" w:cs="Times New Roman"/>
          <w:sz w:val="24"/>
          <w:szCs w:val="24"/>
          <w:lang w:val="en-GB" w:eastAsia="en-GB"/>
        </w:rPr>
        <w:t>; and the conquest narrative begins with the ritualized destruction of Jericho.</w:t>
      </w:r>
      <w:r w:rsidRPr="00A46409">
        <w:rPr>
          <w:rFonts w:ascii="Times New Roman" w:eastAsia="Times New Roman" w:hAnsi="Times New Roman" w:cs="Times New Roman"/>
          <w:sz w:val="24"/>
          <w:szCs w:val="24"/>
          <w:vertAlign w:val="superscript"/>
          <w:lang w:val="en-GB" w:eastAsia="en-GB"/>
        </w:rPr>
        <w:footnoteReference w:id="17"/>
      </w:r>
    </w:p>
    <w:p w:rsidR="001A6C34" w:rsidRPr="007F5029" w:rsidRDefault="001A6C34" w:rsidP="001A6C34">
      <w:pPr>
        <w:tabs>
          <w:tab w:val="left" w:pos="540"/>
        </w:tabs>
        <w:spacing w:after="0" w:line="240" w:lineRule="auto"/>
        <w:ind w:left="540"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A related ritualistic feature is the “the mysterious sacral category of </w:t>
      </w:r>
      <w:r w:rsidRPr="007F5029">
        <w:rPr>
          <w:rFonts w:ascii="Times New Roman" w:eastAsia="Times New Roman" w:hAnsi="Times New Roman" w:cs="Times New Roman"/>
          <w:i/>
          <w:sz w:val="24"/>
          <w:szCs w:val="24"/>
          <w:lang w:val="en-GB" w:eastAsia="en-GB"/>
        </w:rPr>
        <w:t>being devoted to destruction.</w:t>
      </w:r>
      <w:r w:rsidRPr="007F5029">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vertAlign w:val="superscript"/>
          <w:lang w:val="en-GB" w:eastAsia="en-GB"/>
        </w:rPr>
        <w:footnoteReference w:id="18"/>
      </w:r>
      <w:r w:rsidRPr="007F5029">
        <w:rPr>
          <w:rFonts w:ascii="Times New Roman" w:eastAsia="Times New Roman" w:hAnsi="Times New Roman" w:cs="Times New Roman"/>
          <w:sz w:val="24"/>
          <w:szCs w:val="24"/>
          <w:lang w:val="en-GB" w:eastAsia="en-GB"/>
        </w:rPr>
        <w:t xml:space="preserve"> Most significant is the use of formulaic language:</w:t>
      </w:r>
    </w:p>
    <w:p w:rsidR="001A6C34" w:rsidRPr="007F5029" w:rsidRDefault="001A6C34" w:rsidP="001A6C34">
      <w:pPr>
        <w:spacing w:after="0" w:line="240" w:lineRule="auto"/>
        <w:ind w:left="567"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Anyone who reads the Book of Joshua in one sitting cannot fail to be struck by the prominent employment of formulaic phrasings. … Far more important is the formulaic clause, “struck down all the inhabitants with the edge of the sword.” </w:t>
      </w:r>
    </w:p>
    <w:p w:rsidR="001A6C34" w:rsidRPr="007F5029" w:rsidRDefault="001A6C34" w:rsidP="001A6C34">
      <w:pPr>
        <w:spacing w:after="0" w:line="240" w:lineRule="auto"/>
        <w:ind w:left="567"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The first time one reads that Joshua struck down all the inhabitants of a city with the edge of the sword, namely, in the story of the conquest of Jericho (6:21), one makes nothing of it. But the phrasing – or close variants thereon – gets repeated, seven times in close succession in chapter 10, two more times in chapter 11, and several times in other chapters. </w:t>
      </w:r>
      <w:r w:rsidRPr="007F5029">
        <w:rPr>
          <w:rFonts w:ascii="Times New Roman" w:eastAsia="Times New Roman" w:hAnsi="Times New Roman" w:cs="Times New Roman"/>
          <w:sz w:val="24"/>
          <w:szCs w:val="24"/>
          <w:lang w:val="en-GB" w:eastAsia="en-GB"/>
        </w:rPr>
        <w:lastRenderedPageBreak/>
        <w:t>The repetition makes it unmistakable that we are dealing here with a formulaic literary convention.</w:t>
      </w:r>
      <w:r w:rsidRPr="00A46409">
        <w:rPr>
          <w:rFonts w:ascii="Times New Roman" w:eastAsia="Times New Roman" w:hAnsi="Times New Roman" w:cs="Times New Roman"/>
          <w:sz w:val="24"/>
          <w:szCs w:val="24"/>
          <w:vertAlign w:val="superscript"/>
          <w:lang w:val="en-GB" w:eastAsia="en-GB"/>
        </w:rPr>
        <w:footnoteReference w:id="19"/>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Thus Joshua itself appears to be full of ritualistic, stylized, formulaic language.  It therefore looks like something other than a mere literal description of what occurred.  In light of these facts Wolterstorff argues that Judges should be taken literally whereas Joshua is hagiographic history, a highly-stylized, exaggerated account of the events designed to teach theological and moral points rather than to describe </w:t>
      </w:r>
      <w:r w:rsidRPr="007F5029">
        <w:rPr>
          <w:rFonts w:ascii="Times New Roman" w:eastAsia="Times New Roman" w:hAnsi="Times New Roman" w:cs="Times New Roman"/>
          <w:color w:val="000000"/>
          <w:sz w:val="24"/>
          <w:szCs w:val="24"/>
          <w:lang w:val="en-GB" w:eastAsia="en-GB"/>
        </w:rPr>
        <w:t>in detail</w:t>
      </w:r>
      <w:r w:rsidRPr="007F5029">
        <w:rPr>
          <w:rFonts w:ascii="Times New Roman" w:eastAsia="Times New Roman" w:hAnsi="Times New Roman" w:cs="Times New Roman"/>
          <w:sz w:val="24"/>
          <w:szCs w:val="24"/>
          <w:lang w:val="en-GB" w:eastAsia="en-GB"/>
        </w:rPr>
        <w:t xml:space="preserve"> what </w:t>
      </w:r>
      <w:r w:rsidRPr="007F5029">
        <w:rPr>
          <w:rFonts w:ascii="Times New Roman" w:eastAsia="Times New Roman" w:hAnsi="Times New Roman" w:cs="Times New Roman"/>
          <w:i/>
          <w:sz w:val="24"/>
          <w:szCs w:val="24"/>
          <w:lang w:val="en-GB" w:eastAsia="en-GB"/>
        </w:rPr>
        <w:t xml:space="preserve">literally </w:t>
      </w:r>
      <w:r w:rsidRPr="007F5029">
        <w:rPr>
          <w:rFonts w:ascii="Times New Roman" w:eastAsia="Times New Roman" w:hAnsi="Times New Roman" w:cs="Times New Roman"/>
          <w:sz w:val="24"/>
          <w:szCs w:val="24"/>
          <w:lang w:val="en-GB" w:eastAsia="en-GB"/>
        </w:rPr>
        <w:t>happened. Wolterstorff provides the example of North American morality tales of the noble Puritan or Washington crossing the Delaware. These are idealized, exaggerated accounts of the past designed to teach a moral lesson; they are not intended to be taken as accurate accounts of what actually occurred.</w:t>
      </w:r>
    </w:p>
    <w:p w:rsidR="001A6C34" w:rsidRPr="007F5029" w:rsidRDefault="001A6C34" w:rsidP="001A6C34">
      <w:pPr>
        <w:tabs>
          <w:tab w:val="left" w:pos="540"/>
        </w:tabs>
        <w:spacing w:after="0" w:line="360" w:lineRule="auto"/>
        <w:ind w:right="-58"/>
        <w:rPr>
          <w:rFonts w:ascii="Times New Roman" w:eastAsia="Times New Roman" w:hAnsi="Times New Roman" w:cs="Times New Roman"/>
          <w:b/>
          <w:sz w:val="24"/>
          <w:szCs w:val="24"/>
          <w:lang w:val="en-GB" w:eastAsia="en-GB"/>
        </w:rPr>
      </w:pPr>
    </w:p>
    <w:p w:rsidR="001A6C34" w:rsidRPr="007F5029" w:rsidRDefault="001A6C34" w:rsidP="001A6C34">
      <w:pPr>
        <w:tabs>
          <w:tab w:val="left" w:pos="540"/>
        </w:tabs>
        <w:spacing w:after="0" w:line="360" w:lineRule="auto"/>
        <w:ind w:right="-58"/>
        <w:jc w:val="center"/>
        <w:rPr>
          <w:rFonts w:ascii="Times New Roman" w:eastAsia="Times New Roman" w:hAnsi="Times New Roman" w:cs="Times New Roman"/>
          <w:b/>
          <w:sz w:val="24"/>
          <w:szCs w:val="24"/>
          <w:lang w:val="en-GB" w:eastAsia="en-GB"/>
        </w:rPr>
      </w:pPr>
      <w:r w:rsidRPr="007F5029">
        <w:rPr>
          <w:rFonts w:ascii="Times New Roman" w:eastAsia="Times New Roman" w:hAnsi="Times New Roman" w:cs="Times New Roman"/>
          <w:b/>
          <w:sz w:val="24"/>
          <w:szCs w:val="24"/>
          <w:lang w:val="en-GB" w:eastAsia="en-GB"/>
        </w:rPr>
        <w:t>Ancient Near Eastern Conquest Accounts</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argument has, I think, considerable force. Judges and Joshua cannot both be taken literally as their accounts are at odds; given the internal evidence Wolterstorff cites it is reasonable to contend that Joshua is the one that is non-literal. Wolterstorff, however, limits his case to what I call internal evidence, evidence from within the text itself.  I think there is some interesting external evidence, evidence of how particular terms and language were used in other Ancient Near Eastern histories of conquests and battles, which could be added to </w:t>
      </w: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argument. Here I will cite three </w:t>
      </w:r>
      <w:r>
        <w:rPr>
          <w:rFonts w:ascii="Times New Roman" w:eastAsia="Times New Roman" w:hAnsi="Times New Roman" w:cs="Times New Roman"/>
          <w:sz w:val="24"/>
          <w:szCs w:val="24"/>
          <w:lang w:val="en-GB" w:eastAsia="en-GB"/>
        </w:rPr>
        <w:t xml:space="preserve">such </w:t>
      </w:r>
      <w:r w:rsidRPr="007F5029">
        <w:rPr>
          <w:rFonts w:ascii="Times New Roman" w:eastAsia="Times New Roman" w:hAnsi="Times New Roman" w:cs="Times New Roman"/>
          <w:sz w:val="24"/>
          <w:szCs w:val="24"/>
          <w:lang w:val="en-GB" w:eastAsia="en-GB"/>
        </w:rPr>
        <w:t>lines of evidence.</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The first is that comparisons between the book of Joshua and other ancient Near Eastern conquest accounts from the same period demonstrate some important stylistic parallels. Various studies have documented these similarities. Commenting on the structure of the campaigns mentioned in Joshua 9-12, Kenneth Kitchen reminds us:</w:t>
      </w:r>
    </w:p>
    <w:p w:rsidR="001A6C34" w:rsidRPr="007F5029" w:rsidRDefault="001A6C34" w:rsidP="001A6C34">
      <w:pPr>
        <w:spacing w:after="0" w:line="240" w:lineRule="auto"/>
        <w:ind w:left="567" w:right="-57"/>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This kind of report profile is familiar to readers of ancient Near Eastern military reports, not least in the second millennium. Most striking is the example of the campaign annals of </w:t>
      </w:r>
      <w:proofErr w:type="spellStart"/>
      <w:r w:rsidRPr="007F5029">
        <w:rPr>
          <w:rFonts w:ascii="Times New Roman" w:eastAsia="Times New Roman" w:hAnsi="Times New Roman" w:cs="Times New Roman"/>
          <w:sz w:val="24"/>
          <w:szCs w:val="24"/>
          <w:lang w:val="en-GB" w:eastAsia="en-GB"/>
        </w:rPr>
        <w:t>Tuthmosis</w:t>
      </w:r>
      <w:proofErr w:type="spellEnd"/>
      <w:r w:rsidRPr="007F5029">
        <w:rPr>
          <w:rFonts w:ascii="Times New Roman" w:eastAsia="Times New Roman" w:hAnsi="Times New Roman" w:cs="Times New Roman"/>
          <w:sz w:val="24"/>
          <w:szCs w:val="24"/>
          <w:lang w:val="en-GB" w:eastAsia="en-GB"/>
        </w:rPr>
        <w:t xml:space="preserve"> III of Egypt in his years 22-42 (ca. 1458-1438). … [T]he pharaoh there gives a very full account of his initial victory at Megiddo, by contrast with the far more summary and stylized reports of the ensuing sixteen subsequent campaigns.</w:t>
      </w:r>
      <w:r w:rsidRPr="00A46409">
        <w:rPr>
          <w:rFonts w:ascii="Times New Roman" w:eastAsia="Times New Roman" w:hAnsi="Times New Roman" w:cs="Times New Roman"/>
          <w:sz w:val="24"/>
          <w:szCs w:val="24"/>
          <w:lang w:val="en-GB" w:eastAsia="en-GB"/>
        </w:rPr>
        <w:t> </w:t>
      </w:r>
      <w:r w:rsidRPr="00A46409">
        <w:rPr>
          <w:rFonts w:ascii="Times New Roman" w:eastAsia="Times New Roman" w:hAnsi="Times New Roman" w:cs="Times New Roman"/>
          <w:i/>
          <w:iCs/>
          <w:sz w:val="24"/>
          <w:szCs w:val="24"/>
          <w:lang w:val="en-GB" w:eastAsia="en-GB"/>
        </w:rPr>
        <w:t>Just like Joshua</w:t>
      </w:r>
      <w:r w:rsidRPr="00A46409">
        <w:rPr>
          <w:rFonts w:ascii="Times New Roman" w:eastAsia="Times New Roman" w:hAnsi="Times New Roman" w:cs="Times New Roman"/>
          <w:sz w:val="24"/>
          <w:szCs w:val="24"/>
          <w:lang w:val="en-GB" w:eastAsia="en-GB"/>
        </w:rPr>
        <w:t> </w:t>
      </w:r>
      <w:r w:rsidRPr="007F5029">
        <w:rPr>
          <w:rFonts w:ascii="Times New Roman" w:eastAsia="Times New Roman" w:hAnsi="Times New Roman" w:cs="Times New Roman"/>
          <w:sz w:val="24"/>
          <w:szCs w:val="24"/>
          <w:lang w:val="en-GB" w:eastAsia="en-GB"/>
        </w:rPr>
        <w:t>against up to seven kings in south Canaan and four-plus up north.</w:t>
      </w:r>
      <w:r w:rsidRPr="00A46409">
        <w:rPr>
          <w:rFonts w:ascii="Times New Roman" w:eastAsia="Times New Roman" w:hAnsi="Times New Roman" w:cs="Times New Roman"/>
          <w:sz w:val="24"/>
          <w:szCs w:val="24"/>
          <w:vertAlign w:val="superscript"/>
          <w:lang w:val="en-GB" w:eastAsia="en-GB"/>
        </w:rPr>
        <w:footnoteReference w:id="20"/>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Kitchen </w:t>
      </w:r>
      <w:proofErr w:type="gramStart"/>
      <w:r w:rsidRPr="007F5029">
        <w:rPr>
          <w:rFonts w:ascii="Times New Roman" w:eastAsia="Times New Roman" w:hAnsi="Times New Roman" w:cs="Times New Roman"/>
          <w:sz w:val="24"/>
          <w:szCs w:val="24"/>
          <w:lang w:val="en-GB" w:eastAsia="en-GB"/>
        </w:rPr>
        <w:t>adds</w:t>
      </w:r>
      <w:proofErr w:type="gramEnd"/>
      <w:r w:rsidRPr="007F5029">
        <w:rPr>
          <w:rFonts w:ascii="Times New Roman" w:eastAsia="Times New Roman" w:hAnsi="Times New Roman" w:cs="Times New Roman"/>
          <w:sz w:val="24"/>
          <w:szCs w:val="24"/>
          <w:lang w:val="en-GB" w:eastAsia="en-GB"/>
        </w:rPr>
        <w:t>,</w:t>
      </w:r>
    </w:p>
    <w:p w:rsidR="001A6C34" w:rsidRPr="007F5029" w:rsidRDefault="001A6C34" w:rsidP="001A6C34">
      <w:pPr>
        <w:tabs>
          <w:tab w:val="left" w:pos="540"/>
        </w:tabs>
        <w:spacing w:after="0" w:line="240" w:lineRule="auto"/>
        <w:ind w:left="54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lastRenderedPageBreak/>
        <w:t xml:space="preserve">The Ten Year Annals of the Hittite king </w:t>
      </w:r>
      <w:proofErr w:type="spellStart"/>
      <w:r w:rsidRPr="007F5029">
        <w:rPr>
          <w:rFonts w:ascii="Times New Roman" w:eastAsia="Times New Roman" w:hAnsi="Times New Roman" w:cs="Times New Roman"/>
          <w:sz w:val="24"/>
          <w:szCs w:val="24"/>
          <w:lang w:val="en-GB" w:eastAsia="en-GB"/>
        </w:rPr>
        <w:t>Mursil</w:t>
      </w:r>
      <w:proofErr w:type="spellEnd"/>
      <w:r w:rsidRPr="007F5029">
        <w:rPr>
          <w:rFonts w:ascii="Times New Roman" w:eastAsia="Times New Roman" w:hAnsi="Times New Roman" w:cs="Times New Roman"/>
          <w:sz w:val="24"/>
          <w:szCs w:val="24"/>
          <w:lang w:val="en-GB" w:eastAsia="en-GB"/>
        </w:rPr>
        <w:t xml:space="preserve"> II (later fourteenth century) are also instructive.  </w:t>
      </w:r>
      <w:r w:rsidRPr="007F5029">
        <w:rPr>
          <w:rFonts w:ascii="Times New Roman" w:eastAsia="Times New Roman" w:hAnsi="Times New Roman" w:cs="Times New Roman"/>
          <w:i/>
          <w:iCs/>
          <w:sz w:val="24"/>
          <w:szCs w:val="24"/>
          <w:lang w:val="en-GB" w:eastAsia="en-GB"/>
        </w:rPr>
        <w:t>Exactly like the “prefaces” in the two Joshua war reports</w:t>
      </w:r>
      <w:r w:rsidRPr="007F5029">
        <w:rPr>
          <w:rFonts w:ascii="Times New Roman" w:eastAsia="Times New Roman" w:hAnsi="Times New Roman" w:cs="Times New Roman"/>
          <w:sz w:val="24"/>
          <w:szCs w:val="24"/>
          <w:lang w:val="en-GB" w:eastAsia="en-GB"/>
        </w:rPr>
        <w:t xml:space="preserve"> (10:1-4; 11:1-5), detailing hostility by a number of foreign rulers against Joshua and Israel as the reason for the wars, so in his annals </w:t>
      </w:r>
      <w:proofErr w:type="spellStart"/>
      <w:r w:rsidRPr="007F5029">
        <w:rPr>
          <w:rFonts w:ascii="Times New Roman" w:eastAsia="Times New Roman" w:hAnsi="Times New Roman" w:cs="Times New Roman"/>
          <w:sz w:val="24"/>
          <w:szCs w:val="24"/>
          <w:lang w:val="en-GB" w:eastAsia="en-GB"/>
        </w:rPr>
        <w:t>Mursil</w:t>
      </w:r>
      <w:proofErr w:type="spellEnd"/>
      <w:r w:rsidRPr="007F5029">
        <w:rPr>
          <w:rFonts w:ascii="Times New Roman" w:eastAsia="Times New Roman" w:hAnsi="Times New Roman" w:cs="Times New Roman"/>
          <w:sz w:val="24"/>
          <w:szCs w:val="24"/>
          <w:lang w:val="en-GB" w:eastAsia="en-GB"/>
        </w:rPr>
        <w:t xml:space="preserve"> II gives us a long “preface” on the hostility of neighbouring rulers and people groups that lead to his campaigns.</w:t>
      </w:r>
      <w:r w:rsidRPr="007F5029">
        <w:rPr>
          <w:rFonts w:ascii="Times New Roman" w:eastAsia="Times New Roman" w:hAnsi="Times New Roman" w:cs="Times New Roman"/>
          <w:sz w:val="24"/>
          <w:szCs w:val="24"/>
          <w:vertAlign w:val="superscript"/>
          <w:lang w:val="en-GB" w:eastAsia="en-GB"/>
        </w:rPr>
        <w:footnoteReference w:id="21"/>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Kitchen offers other examples. He observes that the same formulaic style found in Joshua is also used in the </w:t>
      </w:r>
      <w:proofErr w:type="spellStart"/>
      <w:r w:rsidRPr="007F5029">
        <w:rPr>
          <w:rFonts w:ascii="Times New Roman" w:eastAsia="Times New Roman" w:hAnsi="Times New Roman" w:cs="Times New Roman"/>
          <w:sz w:val="24"/>
          <w:szCs w:val="24"/>
          <w:lang w:val="en-GB" w:eastAsia="en-GB"/>
        </w:rPr>
        <w:t>Amarna</w:t>
      </w:r>
      <w:proofErr w:type="spellEnd"/>
      <w:r w:rsidRPr="007F5029">
        <w:rPr>
          <w:rFonts w:ascii="Times New Roman" w:eastAsia="Times New Roman" w:hAnsi="Times New Roman" w:cs="Times New Roman"/>
          <w:sz w:val="24"/>
          <w:szCs w:val="24"/>
          <w:lang w:val="en-GB" w:eastAsia="en-GB"/>
        </w:rPr>
        <w:t xml:space="preserve"> letters EA 185 and EA 186.</w:t>
      </w:r>
      <w:r w:rsidRPr="00A46409">
        <w:rPr>
          <w:rFonts w:ascii="Times New Roman" w:eastAsia="Times New Roman" w:hAnsi="Times New Roman" w:cs="Times New Roman"/>
          <w:sz w:val="24"/>
          <w:szCs w:val="24"/>
          <w:vertAlign w:val="superscript"/>
          <w:lang w:val="en-GB" w:eastAsia="en-GB"/>
        </w:rPr>
        <w:footnoteReference w:id="22"/>
      </w:r>
      <w:r w:rsidRPr="00A46409">
        <w:rPr>
          <w:rFonts w:ascii="Times New Roman" w:eastAsia="Times New Roman" w:hAnsi="Times New Roman" w:cs="Times New Roman"/>
          <w:sz w:val="24"/>
          <w:szCs w:val="24"/>
          <w:vertAlign w:val="superscript"/>
          <w:lang w:val="en-GB" w:eastAsia="en-GB"/>
        </w:rPr>
        <w:t> </w:t>
      </w:r>
      <w:r w:rsidRPr="007F5029">
        <w:rPr>
          <w:rFonts w:ascii="Times New Roman" w:eastAsia="Times New Roman" w:hAnsi="Times New Roman" w:cs="Times New Roman"/>
          <w:sz w:val="24"/>
          <w:szCs w:val="24"/>
          <w:lang w:val="en-GB" w:eastAsia="en-GB"/>
        </w:rPr>
        <w:t xml:space="preserve">Similarly, before his major campaigns, </w:t>
      </w:r>
    </w:p>
    <w:p w:rsidR="001A6C34" w:rsidRPr="007F5029" w:rsidRDefault="001A6C34" w:rsidP="001A6C34">
      <w:pPr>
        <w:tabs>
          <w:tab w:val="left" w:pos="540"/>
        </w:tabs>
        <w:spacing w:after="0" w:line="240" w:lineRule="auto"/>
        <w:ind w:left="54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Joshua is commissioned by YHWH not to fear (cf. 5:13-15; 10:8; 11:6). So also by </w:t>
      </w:r>
      <w:proofErr w:type="spellStart"/>
      <w:r w:rsidRPr="007F5029">
        <w:rPr>
          <w:rFonts w:ascii="Times New Roman" w:eastAsia="Times New Roman" w:hAnsi="Times New Roman" w:cs="Times New Roman"/>
          <w:sz w:val="24"/>
          <w:szCs w:val="24"/>
          <w:lang w:val="en-GB" w:eastAsia="en-GB"/>
        </w:rPr>
        <w:t>Ptah</w:t>
      </w:r>
      <w:proofErr w:type="spellEnd"/>
      <w:r w:rsidRPr="007F5029">
        <w:rPr>
          <w:rFonts w:ascii="Times New Roman" w:eastAsia="Times New Roman" w:hAnsi="Times New Roman" w:cs="Times New Roman"/>
          <w:sz w:val="24"/>
          <w:szCs w:val="24"/>
          <w:lang w:val="en-GB" w:eastAsia="en-GB"/>
        </w:rPr>
        <w:t xml:space="preserve"> and </w:t>
      </w:r>
      <w:proofErr w:type="spellStart"/>
      <w:r w:rsidRPr="007F5029">
        <w:rPr>
          <w:rFonts w:ascii="Times New Roman" w:eastAsia="Times New Roman" w:hAnsi="Times New Roman" w:cs="Times New Roman"/>
          <w:sz w:val="24"/>
          <w:szCs w:val="24"/>
          <w:lang w:val="en-GB" w:eastAsia="en-GB"/>
        </w:rPr>
        <w:t>Amun</w:t>
      </w:r>
      <w:proofErr w:type="spellEnd"/>
      <w:r w:rsidRPr="007F5029">
        <w:rPr>
          <w:rFonts w:ascii="Times New Roman" w:eastAsia="Times New Roman" w:hAnsi="Times New Roman" w:cs="Times New Roman"/>
          <w:sz w:val="24"/>
          <w:szCs w:val="24"/>
          <w:lang w:val="en-GB" w:eastAsia="en-GB"/>
        </w:rPr>
        <w:t xml:space="preserve"> were </w:t>
      </w:r>
      <w:proofErr w:type="spellStart"/>
      <w:r w:rsidRPr="007F5029">
        <w:rPr>
          <w:rFonts w:ascii="Times New Roman" w:eastAsia="Times New Roman" w:hAnsi="Times New Roman" w:cs="Times New Roman"/>
          <w:sz w:val="24"/>
          <w:szCs w:val="24"/>
          <w:lang w:val="en-GB" w:eastAsia="en-GB"/>
        </w:rPr>
        <w:t>Merenptah</w:t>
      </w:r>
      <w:proofErr w:type="spellEnd"/>
      <w:r w:rsidRPr="007F5029">
        <w:rPr>
          <w:rFonts w:ascii="Times New Roman" w:eastAsia="Times New Roman" w:hAnsi="Times New Roman" w:cs="Times New Roman"/>
          <w:sz w:val="24"/>
          <w:szCs w:val="24"/>
          <w:lang w:val="en-GB" w:eastAsia="en-GB"/>
        </w:rPr>
        <w:t xml:space="preserve"> in Egypt, and </w:t>
      </w:r>
      <w:proofErr w:type="spellStart"/>
      <w:r w:rsidRPr="007F5029">
        <w:rPr>
          <w:rFonts w:ascii="Times New Roman" w:eastAsia="Times New Roman" w:hAnsi="Times New Roman" w:cs="Times New Roman"/>
          <w:sz w:val="24"/>
          <w:szCs w:val="24"/>
          <w:lang w:val="en-GB" w:eastAsia="en-GB"/>
        </w:rPr>
        <w:t>Tuthmosis</w:t>
      </w:r>
      <w:proofErr w:type="spellEnd"/>
      <w:r w:rsidRPr="007F5029">
        <w:rPr>
          <w:rFonts w:ascii="Times New Roman" w:eastAsia="Times New Roman" w:hAnsi="Times New Roman" w:cs="Times New Roman"/>
          <w:sz w:val="24"/>
          <w:szCs w:val="24"/>
          <w:lang w:val="en-GB" w:eastAsia="en-GB"/>
        </w:rPr>
        <w:t xml:space="preserve"> IV long before him; and likewise </w:t>
      </w:r>
      <w:proofErr w:type="spellStart"/>
      <w:r w:rsidRPr="007F5029">
        <w:rPr>
          <w:rFonts w:ascii="Times New Roman" w:eastAsia="Times New Roman" w:hAnsi="Times New Roman" w:cs="Times New Roman"/>
          <w:sz w:val="24"/>
          <w:szCs w:val="24"/>
          <w:lang w:val="en-GB" w:eastAsia="en-GB"/>
        </w:rPr>
        <w:t>Mursil</w:t>
      </w:r>
      <w:proofErr w:type="spellEnd"/>
      <w:r w:rsidRPr="007F5029">
        <w:rPr>
          <w:rFonts w:ascii="Times New Roman" w:eastAsia="Times New Roman" w:hAnsi="Times New Roman" w:cs="Times New Roman"/>
          <w:sz w:val="24"/>
          <w:szCs w:val="24"/>
          <w:lang w:val="en-GB" w:eastAsia="en-GB"/>
        </w:rPr>
        <w:t xml:space="preserve"> II of the Hittites by his gods (Ten-Year Annals, etc.), all in the second millennium, besides such kings as Assurbanipal of Assyria down to the seventh century.</w:t>
      </w:r>
      <w:r w:rsidRPr="00A46409">
        <w:rPr>
          <w:rFonts w:ascii="Times New Roman" w:eastAsia="Times New Roman" w:hAnsi="Times New Roman" w:cs="Times New Roman"/>
          <w:sz w:val="24"/>
          <w:szCs w:val="24"/>
          <w:vertAlign w:val="superscript"/>
          <w:lang w:val="en-GB" w:eastAsia="en-GB"/>
        </w:rPr>
        <w:footnoteReference w:id="23"/>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Similar studies have been done by John Van </w:t>
      </w:r>
      <w:proofErr w:type="spellStart"/>
      <w:r w:rsidRPr="007F5029">
        <w:rPr>
          <w:rFonts w:ascii="Times New Roman" w:eastAsia="Times New Roman" w:hAnsi="Times New Roman" w:cs="Times New Roman"/>
          <w:sz w:val="24"/>
          <w:szCs w:val="24"/>
          <w:lang w:val="en-GB" w:eastAsia="en-GB"/>
        </w:rPr>
        <w:t>Seters</w:t>
      </w:r>
      <w:proofErr w:type="spellEnd"/>
      <w:r w:rsidRPr="00A46409">
        <w:rPr>
          <w:rFonts w:ascii="Times New Roman" w:eastAsia="Times New Roman" w:hAnsi="Times New Roman" w:cs="Times New Roman"/>
          <w:sz w:val="24"/>
          <w:szCs w:val="24"/>
          <w:vertAlign w:val="superscript"/>
          <w:lang w:val="en-GB" w:eastAsia="en-GB"/>
        </w:rPr>
        <w:footnoteReference w:id="24"/>
      </w:r>
      <w:r w:rsidRPr="007F5029">
        <w:rPr>
          <w:rFonts w:ascii="Times New Roman" w:eastAsia="Times New Roman" w:hAnsi="Times New Roman" w:cs="Times New Roman"/>
          <w:sz w:val="24"/>
          <w:szCs w:val="24"/>
          <w:lang w:val="en-GB" w:eastAsia="en-GB"/>
        </w:rPr>
        <w:t xml:space="preserve"> and James </w:t>
      </w:r>
      <w:proofErr w:type="spellStart"/>
      <w:r w:rsidRPr="007F5029">
        <w:rPr>
          <w:rFonts w:ascii="Times New Roman" w:eastAsia="Times New Roman" w:hAnsi="Times New Roman" w:cs="Times New Roman"/>
          <w:sz w:val="24"/>
          <w:szCs w:val="24"/>
          <w:lang w:val="en-GB" w:eastAsia="en-GB"/>
        </w:rPr>
        <w:t>Hoffmeier</w:t>
      </w:r>
      <w:proofErr w:type="spellEnd"/>
      <w:r w:rsidRPr="007F5029">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vertAlign w:val="superscript"/>
          <w:lang w:val="en-GB" w:eastAsia="en-GB"/>
        </w:rPr>
        <w:footnoteReference w:id="25"/>
      </w:r>
      <w:r w:rsidRPr="007F5029">
        <w:rPr>
          <w:rFonts w:ascii="Times New Roman" w:eastAsia="Times New Roman" w:hAnsi="Times New Roman" w:cs="Times New Roman"/>
          <w:sz w:val="24"/>
          <w:szCs w:val="24"/>
          <w:lang w:val="en-GB" w:eastAsia="en-GB"/>
        </w:rPr>
        <w:t xml:space="preserve"> However, the most comprehensive is that done by K. Lawson Younger. Younger notes similarities in the preface, structure and even the way the treaty with the </w:t>
      </w:r>
      <w:proofErr w:type="spellStart"/>
      <w:r w:rsidRPr="007F5029">
        <w:rPr>
          <w:rFonts w:ascii="Times New Roman" w:eastAsia="Times New Roman" w:hAnsi="Times New Roman" w:cs="Times New Roman"/>
          <w:sz w:val="24"/>
          <w:szCs w:val="24"/>
          <w:lang w:val="en-GB" w:eastAsia="en-GB"/>
        </w:rPr>
        <w:t>Gibeonites</w:t>
      </w:r>
      <w:proofErr w:type="spellEnd"/>
      <w:r w:rsidRPr="007F5029">
        <w:rPr>
          <w:rFonts w:ascii="Times New Roman" w:eastAsia="Times New Roman" w:hAnsi="Times New Roman" w:cs="Times New Roman"/>
          <w:sz w:val="24"/>
          <w:szCs w:val="24"/>
          <w:lang w:val="en-GB" w:eastAsia="en-GB"/>
        </w:rPr>
        <w:t xml:space="preserve"> is recorded between Joshua and various Ancient Near Eastern accounts.</w:t>
      </w:r>
      <w:r w:rsidRPr="00A46409">
        <w:rPr>
          <w:rFonts w:ascii="Times New Roman" w:eastAsia="Times New Roman" w:hAnsi="Times New Roman" w:cs="Times New Roman"/>
          <w:sz w:val="24"/>
          <w:szCs w:val="24"/>
          <w:vertAlign w:val="superscript"/>
          <w:lang w:val="en-GB" w:eastAsia="en-GB"/>
        </w:rPr>
        <w:footnoteReference w:id="26"/>
      </w:r>
      <w:r w:rsidRPr="00A46409">
        <w:rPr>
          <w:rFonts w:ascii="Times New Roman" w:eastAsia="Times New Roman" w:hAnsi="Times New Roman" w:cs="Times New Roman"/>
          <w:sz w:val="24"/>
          <w:szCs w:val="24"/>
          <w:lang w:val="en-GB" w:eastAsia="en-GB"/>
        </w:rPr>
        <w:t xml:space="preserve">  </w:t>
      </w:r>
      <w:r w:rsidRPr="007F5029">
        <w:rPr>
          <w:rFonts w:ascii="Times New Roman" w:eastAsia="Times New Roman" w:hAnsi="Times New Roman" w:cs="Times New Roman"/>
          <w:sz w:val="24"/>
          <w:szCs w:val="24"/>
          <w:lang w:val="en-GB" w:eastAsia="en-GB"/>
        </w:rPr>
        <w:t>Joshua follows this convention in describing numerous battles occurring in a single day or within a single campaign.</w:t>
      </w:r>
      <w:r w:rsidRPr="00A46409">
        <w:rPr>
          <w:rFonts w:ascii="Times New Roman" w:eastAsia="Times New Roman" w:hAnsi="Times New Roman" w:cs="Times New Roman"/>
          <w:sz w:val="24"/>
          <w:szCs w:val="24"/>
          <w:vertAlign w:val="superscript"/>
          <w:lang w:val="en-GB" w:eastAsia="en-GB"/>
        </w:rPr>
        <w:footnoteReference w:id="27"/>
      </w:r>
      <w:r w:rsidRPr="007F5029">
        <w:rPr>
          <w:rFonts w:ascii="Times New Roman" w:eastAsia="Times New Roman" w:hAnsi="Times New Roman" w:cs="Times New Roman"/>
          <w:sz w:val="24"/>
          <w:szCs w:val="24"/>
          <w:lang w:val="en-GB" w:eastAsia="en-GB"/>
        </w:rPr>
        <w:t xml:space="preserve"> Ancient Near Eastern accounts also, like Joshua, repeatedly make reference to the enemy “melting with fear.”</w:t>
      </w:r>
      <w:r w:rsidRPr="00A46409">
        <w:rPr>
          <w:rFonts w:ascii="Times New Roman" w:eastAsia="Times New Roman" w:hAnsi="Times New Roman" w:cs="Times New Roman"/>
          <w:sz w:val="24"/>
          <w:szCs w:val="24"/>
          <w:vertAlign w:val="superscript"/>
          <w:lang w:val="en-GB" w:eastAsia="en-GB"/>
        </w:rPr>
        <w:footnoteReference w:id="28"/>
      </w:r>
      <w:r w:rsidRPr="00A46409">
        <w:rPr>
          <w:rFonts w:ascii="Times New Roman" w:eastAsia="Times New Roman" w:hAnsi="Times New Roman" w:cs="Times New Roman"/>
          <w:sz w:val="24"/>
          <w:szCs w:val="24"/>
          <w:lang w:val="en-GB" w:eastAsia="en-GB"/>
        </w:rPr>
        <w:t xml:space="preserve">  </w:t>
      </w:r>
      <w:r w:rsidRPr="007F5029">
        <w:rPr>
          <w:rFonts w:ascii="Times New Roman" w:eastAsia="Times New Roman" w:hAnsi="Times New Roman" w:cs="Times New Roman"/>
          <w:sz w:val="24"/>
          <w:szCs w:val="24"/>
          <w:lang w:val="en-GB" w:eastAsia="en-GB"/>
        </w:rPr>
        <w:t>Even the way post-battle pursuits are set out and described shows similarities with similar pursuits in Ancient Near Eastern literature.</w:t>
      </w:r>
      <w:r w:rsidRPr="00A46409">
        <w:rPr>
          <w:rFonts w:ascii="Times New Roman" w:eastAsia="Times New Roman" w:hAnsi="Times New Roman" w:cs="Times New Roman"/>
          <w:sz w:val="24"/>
          <w:szCs w:val="24"/>
          <w:vertAlign w:val="superscript"/>
          <w:lang w:val="en-GB" w:eastAsia="en-GB"/>
        </w:rPr>
        <w:footnoteReference w:id="29"/>
      </w:r>
      <w:r w:rsidRPr="00A46409">
        <w:rPr>
          <w:rFonts w:ascii="Times New Roman" w:eastAsia="Times New Roman" w:hAnsi="Times New Roman" w:cs="Times New Roman"/>
          <w:sz w:val="24"/>
          <w:szCs w:val="24"/>
          <w:lang w:val="en-GB" w:eastAsia="en-GB"/>
        </w:rPr>
        <w:t> </w:t>
      </w:r>
      <w:r w:rsidRPr="007F5029">
        <w:rPr>
          <w:rFonts w:ascii="Times New Roman" w:eastAsia="Times New Roman" w:hAnsi="Times New Roman" w:cs="Times New Roman"/>
          <w:sz w:val="24"/>
          <w:szCs w:val="24"/>
          <w:lang w:val="en-GB" w:eastAsia="en-GB"/>
        </w:rPr>
        <w:t xml:space="preserve">I could mention more examples. The point is that “when the composition and rhetoric of the Joshua narratives in chapters 9-12 are compared to the conventions of writing about </w:t>
      </w:r>
      <w:r w:rsidRPr="007F5029">
        <w:rPr>
          <w:rFonts w:ascii="Times New Roman" w:eastAsia="Times New Roman" w:hAnsi="Times New Roman" w:cs="Times New Roman"/>
          <w:sz w:val="24"/>
          <w:szCs w:val="24"/>
          <w:lang w:val="en-GB" w:eastAsia="en-GB"/>
        </w:rPr>
        <w:lastRenderedPageBreak/>
        <w:t xml:space="preserve">conquests in Egyptian, Hittite, </w:t>
      </w:r>
      <w:proofErr w:type="spellStart"/>
      <w:r w:rsidRPr="007F5029">
        <w:rPr>
          <w:rFonts w:ascii="Times New Roman" w:eastAsia="Times New Roman" w:hAnsi="Times New Roman" w:cs="Times New Roman"/>
          <w:sz w:val="24"/>
          <w:szCs w:val="24"/>
          <w:lang w:val="en-GB" w:eastAsia="en-GB"/>
        </w:rPr>
        <w:t>Akkadian</w:t>
      </w:r>
      <w:proofErr w:type="spellEnd"/>
      <w:r w:rsidRPr="007F5029">
        <w:rPr>
          <w:rFonts w:ascii="Times New Roman" w:eastAsia="Times New Roman" w:hAnsi="Times New Roman" w:cs="Times New Roman"/>
          <w:sz w:val="24"/>
          <w:szCs w:val="24"/>
          <w:lang w:val="en-GB" w:eastAsia="en-GB"/>
        </w:rPr>
        <w:t>, Moabite, and Aramaic texts, they are revealed to be very similar”.</w:t>
      </w:r>
      <w:r w:rsidRPr="00A46409">
        <w:rPr>
          <w:rFonts w:ascii="Times New Roman" w:eastAsia="Times New Roman" w:hAnsi="Times New Roman" w:cs="Times New Roman"/>
          <w:sz w:val="24"/>
          <w:szCs w:val="24"/>
          <w:vertAlign w:val="superscript"/>
          <w:lang w:val="en-GB" w:eastAsia="en-GB"/>
        </w:rPr>
        <w:footnoteReference w:id="30"/>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color w:val="000000"/>
          <w:sz w:val="24"/>
          <w:szCs w:val="24"/>
          <w:lang w:val="en-GB" w:eastAsia="en-GB"/>
        </w:rPr>
        <w:tab/>
        <w:t>Second, Younger notes such accounts are “highly figurative”</w:t>
      </w:r>
      <w:r w:rsidRPr="00A46409">
        <w:rPr>
          <w:rFonts w:ascii="Times New Roman" w:eastAsia="Times New Roman" w:hAnsi="Times New Roman" w:cs="Times New Roman"/>
          <w:color w:val="000000"/>
          <w:sz w:val="24"/>
          <w:szCs w:val="24"/>
          <w:vertAlign w:val="superscript"/>
          <w:lang w:val="en-GB" w:eastAsia="en-GB"/>
        </w:rPr>
        <w:footnoteReference w:id="31"/>
      </w:r>
      <w:r w:rsidRPr="007F5029">
        <w:rPr>
          <w:rFonts w:ascii="Times New Roman" w:eastAsia="Times New Roman" w:hAnsi="Times New Roman" w:cs="Times New Roman"/>
          <w:color w:val="000000"/>
          <w:sz w:val="24"/>
          <w:szCs w:val="24"/>
          <w:lang w:val="en-GB" w:eastAsia="en-GB"/>
        </w:rPr>
        <w:t xml:space="preserve"> and narrate military events via a common transmission code.  The literary motif of divine intervention is an example. Both</w:t>
      </w:r>
      <w:r w:rsidRPr="007F5029">
        <w:rPr>
          <w:rFonts w:ascii="Times New Roman" w:eastAsia="Times New Roman" w:hAnsi="Times New Roman" w:cs="Times New Roman"/>
          <w:sz w:val="24"/>
          <w:szCs w:val="24"/>
          <w:lang w:val="en-GB" w:eastAsia="en-GB"/>
        </w:rPr>
        <w:t xml:space="preserve"> </w:t>
      </w:r>
      <w:r w:rsidRPr="00A46409">
        <w:rPr>
          <w:rFonts w:ascii="Times New Roman" w:eastAsia="Times New Roman" w:hAnsi="Times New Roman" w:cs="Times New Roman"/>
          <w:i/>
          <w:iCs/>
          <w:sz w:val="24"/>
          <w:szCs w:val="24"/>
          <w:lang w:val="en-GB" w:eastAsia="en-GB"/>
        </w:rPr>
        <w:t xml:space="preserve">The 10 Year Annals of </w:t>
      </w:r>
      <w:proofErr w:type="spellStart"/>
      <w:r w:rsidRPr="00A46409">
        <w:rPr>
          <w:rFonts w:ascii="Times New Roman" w:eastAsia="Times New Roman" w:hAnsi="Times New Roman" w:cs="Times New Roman"/>
          <w:i/>
          <w:iCs/>
          <w:sz w:val="24"/>
          <w:szCs w:val="24"/>
          <w:lang w:val="en-GB" w:eastAsia="en-GB"/>
        </w:rPr>
        <w:t>Mursilli</w:t>
      </w:r>
      <w:proofErr w:type="spellEnd"/>
      <w:r w:rsidRPr="00A46409">
        <w:rPr>
          <w:rFonts w:ascii="Times New Roman" w:eastAsia="Times New Roman" w:hAnsi="Times New Roman" w:cs="Times New Roman"/>
          <w:sz w:val="24"/>
          <w:szCs w:val="24"/>
          <w:lang w:val="en-GB" w:eastAsia="en-GB"/>
        </w:rPr>
        <w:t xml:space="preserve"> and </w:t>
      </w:r>
      <w:r w:rsidRPr="00A46409">
        <w:rPr>
          <w:rFonts w:ascii="Times New Roman" w:eastAsia="Times New Roman" w:hAnsi="Times New Roman" w:cs="Times New Roman"/>
          <w:i/>
          <w:iCs/>
          <w:sz w:val="24"/>
          <w:szCs w:val="24"/>
          <w:lang w:val="en-GB" w:eastAsia="en-GB"/>
        </w:rPr>
        <w:t>Sargon’s Letter to the God</w:t>
      </w:r>
      <w:r w:rsidRPr="00A46409">
        <w:rPr>
          <w:rFonts w:ascii="Times New Roman" w:eastAsia="Times New Roman" w:hAnsi="Times New Roman" w:cs="Times New Roman"/>
          <w:sz w:val="24"/>
          <w:szCs w:val="24"/>
          <w:lang w:val="en-GB" w:eastAsia="en-GB"/>
        </w:rPr>
        <w:t xml:space="preserve"> record a divine intervention where the God sends hailstones on the enemy.</w:t>
      </w:r>
      <w:r w:rsidRPr="00A46409">
        <w:rPr>
          <w:rFonts w:ascii="Times New Roman" w:eastAsia="Times New Roman" w:hAnsi="Times New Roman" w:cs="Times New Roman"/>
          <w:sz w:val="24"/>
          <w:szCs w:val="24"/>
          <w:vertAlign w:val="superscript"/>
          <w:lang w:val="en-GB" w:eastAsia="en-GB"/>
        </w:rPr>
        <w:footnoteReference w:id="32"/>
      </w:r>
      <w:r w:rsidRPr="00A46409">
        <w:rPr>
          <w:rFonts w:ascii="Times New Roman" w:eastAsia="Times New Roman" w:hAnsi="Times New Roman" w:cs="Times New Roman"/>
          <w:sz w:val="24"/>
          <w:szCs w:val="24"/>
          <w:lang w:val="en-GB" w:eastAsia="en-GB"/>
        </w:rPr>
        <w:t> </w:t>
      </w:r>
      <w:proofErr w:type="spellStart"/>
      <w:r w:rsidRPr="00A46409">
        <w:rPr>
          <w:rFonts w:ascii="Times New Roman" w:eastAsia="Times New Roman" w:hAnsi="Times New Roman" w:cs="Times New Roman"/>
          <w:sz w:val="24"/>
          <w:szCs w:val="24"/>
          <w:lang w:val="en-GB" w:eastAsia="en-GB"/>
        </w:rPr>
        <w:t>Tuthmosis</w:t>
      </w:r>
      <w:proofErr w:type="spellEnd"/>
      <w:r w:rsidRPr="00A46409">
        <w:rPr>
          <w:rFonts w:ascii="Times New Roman" w:eastAsia="Times New Roman" w:hAnsi="Times New Roman" w:cs="Times New Roman"/>
          <w:sz w:val="24"/>
          <w:szCs w:val="24"/>
          <w:lang w:val="en-GB" w:eastAsia="en-GB"/>
        </w:rPr>
        <w:t xml:space="preserve"> III has a similar story regarding a meteor.</w:t>
      </w:r>
      <w:r w:rsidRPr="00A46409">
        <w:rPr>
          <w:rFonts w:ascii="Times New Roman" w:eastAsia="Times New Roman" w:hAnsi="Times New Roman" w:cs="Times New Roman"/>
          <w:sz w:val="24"/>
          <w:szCs w:val="24"/>
          <w:vertAlign w:val="superscript"/>
          <w:lang w:val="en-GB" w:eastAsia="en-GB"/>
        </w:rPr>
        <w:footnoteReference w:id="33"/>
      </w:r>
      <w:r w:rsidRPr="00A46409">
        <w:rPr>
          <w:rFonts w:ascii="Times New Roman" w:eastAsia="Times New Roman" w:hAnsi="Times New Roman" w:cs="Times New Roman"/>
          <w:sz w:val="24"/>
          <w:szCs w:val="24"/>
          <w:lang w:val="en-GB" w:eastAsia="en-GB"/>
        </w:rPr>
        <w:t xml:space="preserve">  Younger observes that these accounts are very similar to parallel accounts in Joshua 10.  Similarly, Younger points out that in many ancient Near Eastern texts “one can discern a literary technique in which a deity is implored to maintain daylight long enough for there to be a victory,”</w:t>
      </w:r>
      <w:r w:rsidRPr="00A46409">
        <w:rPr>
          <w:rFonts w:ascii="Times New Roman" w:eastAsia="Times New Roman" w:hAnsi="Times New Roman" w:cs="Times New Roman"/>
          <w:sz w:val="24"/>
          <w:szCs w:val="24"/>
          <w:vertAlign w:val="superscript"/>
          <w:lang w:val="en-GB" w:eastAsia="en-GB"/>
        </w:rPr>
        <w:footnoteReference w:id="34"/>
      </w:r>
      <w:r w:rsidRPr="00A46409">
        <w:rPr>
          <w:rFonts w:ascii="Times New Roman" w:eastAsia="Times New Roman" w:hAnsi="Times New Roman" w:cs="Times New Roman"/>
          <w:sz w:val="24"/>
          <w:szCs w:val="24"/>
          <w:lang w:val="en-GB" w:eastAsia="en-GB"/>
        </w:rPr>
        <w:t xml:space="preserve"> which has obvious parallels to Joshua 10:13-14.  Similarly, Richard Hess points to </w:t>
      </w:r>
      <w:r w:rsidRPr="007F5029">
        <w:rPr>
          <w:rFonts w:ascii="Times New Roman" w:eastAsia="Times New Roman" w:hAnsi="Times New Roman" w:cs="Times New Roman"/>
          <w:sz w:val="24"/>
          <w:szCs w:val="24"/>
          <w:lang w:val="en-GB" w:eastAsia="en-GB"/>
        </w:rPr>
        <w:t>Hittite conquest accounts describe the gods knocking down the walls of an enemy city in a manner similar to that described in the battle of Jericho.</w:t>
      </w:r>
      <w:r w:rsidRPr="00A46409">
        <w:rPr>
          <w:rFonts w:ascii="Times New Roman" w:eastAsia="Times New Roman" w:hAnsi="Times New Roman" w:cs="Times New Roman"/>
          <w:sz w:val="24"/>
          <w:szCs w:val="24"/>
          <w:vertAlign w:val="superscript"/>
          <w:lang w:val="en-GB" w:eastAsia="en-GB"/>
        </w:rPr>
        <w:footnoteReference w:id="35"/>
      </w:r>
      <w:r w:rsidRPr="007F5029">
        <w:rPr>
          <w:rFonts w:ascii="Times New Roman" w:eastAsia="Times New Roman" w:hAnsi="Times New Roman" w:cs="Times New Roman"/>
          <w:sz w:val="24"/>
          <w:szCs w:val="24"/>
          <w:lang w:val="en-GB" w:eastAsia="en-GB"/>
        </w:rPr>
        <w:t xml:space="preserve">  The fact that similar events are narrated in multiple different accounts suggests they are “a notable ingredient of the transmission code for conquest accounts”</w:t>
      </w:r>
      <w:r w:rsidRPr="00A46409">
        <w:rPr>
          <w:rFonts w:ascii="Times New Roman" w:eastAsia="Times New Roman" w:hAnsi="Times New Roman" w:cs="Times New Roman"/>
          <w:sz w:val="24"/>
          <w:szCs w:val="24"/>
          <w:vertAlign w:val="superscript"/>
          <w:lang w:val="en-GB" w:eastAsia="en-GB"/>
        </w:rPr>
        <w:footnoteReference w:id="36"/>
      </w:r>
      <w:r w:rsidRPr="007F5029">
        <w:rPr>
          <w:rFonts w:ascii="Times New Roman" w:eastAsia="Times New Roman" w:hAnsi="Times New Roman" w:cs="Times New Roman"/>
          <w:sz w:val="24"/>
          <w:szCs w:val="24"/>
          <w:lang w:val="en-GB" w:eastAsia="en-GB"/>
        </w:rPr>
        <w:t>—that is, part of the common hyperbolic rhetoric of warfare rather than descriptions of what actually occurred.</w:t>
      </w:r>
    </w:p>
    <w:p w:rsidR="001A6C34" w:rsidRPr="007F5029" w:rsidRDefault="001A6C34" w:rsidP="001A6C34">
      <w:pPr>
        <w:tabs>
          <w:tab w:val="left" w:pos="540"/>
        </w:tabs>
        <w:spacing w:after="0" w:line="360" w:lineRule="auto"/>
        <w:ind w:right="-58"/>
        <w:rPr>
          <w:rFonts w:ascii="Times New Roman" w:eastAsia="Times New Roman" w:hAnsi="Times New Roman" w:cs="Times New Roman"/>
          <w:color w:val="000000"/>
          <w:sz w:val="24"/>
          <w:szCs w:val="24"/>
          <w:lang w:val="en-GB" w:eastAsia="en-GB"/>
        </w:rPr>
      </w:pPr>
      <w:r w:rsidRPr="007F5029">
        <w:rPr>
          <w:rFonts w:ascii="Times New Roman" w:eastAsia="Times New Roman" w:hAnsi="Times New Roman" w:cs="Times New Roman"/>
          <w:color w:val="000000"/>
          <w:sz w:val="24"/>
          <w:szCs w:val="24"/>
          <w:lang w:val="en-GB" w:eastAsia="en-GB"/>
        </w:rPr>
        <w:lastRenderedPageBreak/>
        <w:tab/>
        <w:t>Third, part of this “transmission code” is that victories are narrated in an exaggerated hyperbolic fashion in terms of total conquest, complete annihilation and destruction of the enemy, killing everyone, leaving no survivors, etc.  Kitchen offers illuminating examples:</w:t>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The type of rhetoric in question was a regular feature of military reports in the second and first millennia, as others have made very clear. … In the later fifteenth century </w:t>
      </w:r>
      <w:proofErr w:type="spellStart"/>
      <w:r w:rsidRPr="007F5029">
        <w:rPr>
          <w:rFonts w:ascii="Times New Roman" w:eastAsia="Times New Roman" w:hAnsi="Times New Roman" w:cs="Times New Roman"/>
          <w:sz w:val="24"/>
          <w:szCs w:val="24"/>
          <w:lang w:val="en-GB" w:eastAsia="en-GB"/>
        </w:rPr>
        <w:t>Tuthmosis</w:t>
      </w:r>
      <w:proofErr w:type="spellEnd"/>
      <w:r w:rsidRPr="007F5029">
        <w:rPr>
          <w:rFonts w:ascii="Times New Roman" w:eastAsia="Times New Roman" w:hAnsi="Times New Roman" w:cs="Times New Roman"/>
          <w:sz w:val="24"/>
          <w:szCs w:val="24"/>
          <w:lang w:val="en-GB" w:eastAsia="en-GB"/>
        </w:rPr>
        <w:t xml:space="preserve"> III could boast “the numerous army of Mitanni, was overthrown within the hour, annihilated totally, like those (now) non-existent”—whereas, in fact, the forces of Mitanni lived to fight many another day, in the fifteenth and fourteenth centuries. Some centuries later, about 840/830, </w:t>
      </w:r>
      <w:proofErr w:type="spellStart"/>
      <w:r w:rsidRPr="007F5029">
        <w:rPr>
          <w:rFonts w:ascii="Times New Roman" w:eastAsia="Times New Roman" w:hAnsi="Times New Roman" w:cs="Times New Roman"/>
          <w:sz w:val="24"/>
          <w:szCs w:val="24"/>
          <w:lang w:val="en-GB" w:eastAsia="en-GB"/>
        </w:rPr>
        <w:t>Mesha</w:t>
      </w:r>
      <w:proofErr w:type="spellEnd"/>
      <w:r w:rsidRPr="007F5029">
        <w:rPr>
          <w:rFonts w:ascii="Times New Roman" w:eastAsia="Times New Roman" w:hAnsi="Times New Roman" w:cs="Times New Roman"/>
          <w:sz w:val="24"/>
          <w:szCs w:val="24"/>
          <w:lang w:val="en-GB" w:eastAsia="en-GB"/>
        </w:rPr>
        <w:t xml:space="preserve"> king of Moab could boast that “Israel has utterly perished for always”—a rather premature judgment at that date, by over a century! And so on, ad libitum.  It is in this frame of reference that the Joshua rhetoric must also be understood.</w:t>
      </w:r>
      <w:r w:rsidRPr="00A46409">
        <w:rPr>
          <w:rFonts w:ascii="Times New Roman" w:eastAsia="Times New Roman" w:hAnsi="Times New Roman" w:cs="Times New Roman"/>
          <w:sz w:val="24"/>
          <w:szCs w:val="24"/>
          <w:vertAlign w:val="superscript"/>
          <w:lang w:val="en-GB" w:eastAsia="en-GB"/>
        </w:rPr>
        <w:footnoteReference w:id="37"/>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Younger offers numerous other examples. </w:t>
      </w:r>
      <w:proofErr w:type="spellStart"/>
      <w:r w:rsidRPr="007F5029">
        <w:rPr>
          <w:rFonts w:ascii="Times New Roman" w:eastAsia="Times New Roman" w:hAnsi="Times New Roman" w:cs="Times New Roman"/>
          <w:sz w:val="24"/>
          <w:szCs w:val="24"/>
          <w:lang w:val="en-GB" w:eastAsia="en-GB"/>
        </w:rPr>
        <w:t>Merenptah’s</w:t>
      </w:r>
      <w:proofErr w:type="spellEnd"/>
      <w:r w:rsidRPr="007F5029">
        <w:rPr>
          <w:rFonts w:ascii="Times New Roman" w:eastAsia="Times New Roman" w:hAnsi="Times New Roman" w:cs="Times New Roman"/>
          <w:sz w:val="24"/>
          <w:szCs w:val="24"/>
          <w:lang w:val="en-GB" w:eastAsia="en-GB"/>
        </w:rPr>
        <w:t xml:space="preserve"> Stele describes a skirmish with Israel as follows, “</w:t>
      </w:r>
      <w:proofErr w:type="spellStart"/>
      <w:r w:rsidRPr="007F5029">
        <w:rPr>
          <w:rFonts w:ascii="Times New Roman" w:eastAsia="Times New Roman" w:hAnsi="Times New Roman" w:cs="Times New Roman"/>
          <w:sz w:val="24"/>
          <w:szCs w:val="24"/>
          <w:lang w:val="en-GB" w:eastAsia="en-GB"/>
        </w:rPr>
        <w:t>Yanoam</w:t>
      </w:r>
      <w:proofErr w:type="spellEnd"/>
      <w:r w:rsidRPr="007F5029">
        <w:rPr>
          <w:rFonts w:ascii="Times New Roman" w:eastAsia="Times New Roman" w:hAnsi="Times New Roman" w:cs="Times New Roman"/>
          <w:sz w:val="24"/>
          <w:szCs w:val="24"/>
          <w:lang w:val="en-GB" w:eastAsia="en-GB"/>
        </w:rPr>
        <w:t xml:space="preserve"> is </w:t>
      </w:r>
      <w:proofErr w:type="spellStart"/>
      <w:r w:rsidRPr="007F5029">
        <w:rPr>
          <w:rFonts w:ascii="Times New Roman" w:eastAsia="Times New Roman" w:hAnsi="Times New Roman" w:cs="Times New Roman"/>
          <w:sz w:val="24"/>
          <w:szCs w:val="24"/>
          <w:lang w:val="en-GB" w:eastAsia="en-GB"/>
        </w:rPr>
        <w:t>nonexistent</w:t>
      </w:r>
      <w:proofErr w:type="spellEnd"/>
      <w:r w:rsidRPr="007F5029">
        <w:rPr>
          <w:rFonts w:ascii="Times New Roman" w:eastAsia="Times New Roman" w:hAnsi="Times New Roman" w:cs="Times New Roman"/>
          <w:sz w:val="24"/>
          <w:szCs w:val="24"/>
          <w:lang w:val="en-GB" w:eastAsia="en-GB"/>
        </w:rPr>
        <w:t>; Israel is wasted, his seed is not.”</w:t>
      </w:r>
      <w:r w:rsidRPr="00A46409">
        <w:rPr>
          <w:rFonts w:ascii="Times New Roman" w:eastAsia="Times New Roman" w:hAnsi="Times New Roman" w:cs="Times New Roman"/>
          <w:sz w:val="24"/>
          <w:szCs w:val="24"/>
          <w:vertAlign w:val="superscript"/>
          <w:lang w:val="en-GB" w:eastAsia="en-GB"/>
        </w:rPr>
        <w:footnoteReference w:id="38"/>
      </w:r>
      <w:r w:rsidRPr="00A46409">
        <w:rPr>
          <w:rFonts w:ascii="Times New Roman" w:eastAsia="Times New Roman" w:hAnsi="Times New Roman" w:cs="Times New Roman"/>
          <w:sz w:val="24"/>
          <w:szCs w:val="24"/>
          <w:lang w:val="en-GB" w:eastAsia="en-GB"/>
        </w:rPr>
        <w:t xml:space="preserve">  </w:t>
      </w:r>
      <w:r w:rsidRPr="007F5029">
        <w:rPr>
          <w:rFonts w:ascii="Times New Roman" w:eastAsia="Times New Roman" w:hAnsi="Times New Roman" w:cs="Times New Roman"/>
          <w:sz w:val="24"/>
          <w:szCs w:val="24"/>
          <w:lang w:val="en-GB" w:eastAsia="en-GB"/>
        </w:rPr>
        <w:t xml:space="preserve">Here a skirmish in which Egypt prevailed is described hyperbolically in terms of the total annihilation of Israel. Sennacherib uses similar hyperbole, “The soldiers of </w:t>
      </w:r>
      <w:proofErr w:type="spellStart"/>
      <w:r w:rsidRPr="007F5029">
        <w:rPr>
          <w:rFonts w:ascii="Times New Roman" w:eastAsia="Times New Roman" w:hAnsi="Times New Roman" w:cs="Times New Roman"/>
          <w:sz w:val="24"/>
          <w:szCs w:val="24"/>
          <w:lang w:val="en-GB" w:eastAsia="en-GB"/>
        </w:rPr>
        <w:t>Hirimme</w:t>
      </w:r>
      <w:proofErr w:type="spellEnd"/>
      <w:r w:rsidRPr="007F5029">
        <w:rPr>
          <w:rFonts w:ascii="Times New Roman" w:eastAsia="Times New Roman" w:hAnsi="Times New Roman" w:cs="Times New Roman"/>
          <w:sz w:val="24"/>
          <w:szCs w:val="24"/>
          <w:lang w:val="en-GB" w:eastAsia="en-GB"/>
        </w:rPr>
        <w:t>, dangerous enemies, I cut down with the sword; and not one escaped.”</w:t>
      </w:r>
      <w:r w:rsidRPr="00A46409">
        <w:rPr>
          <w:rFonts w:ascii="Times New Roman" w:eastAsia="Times New Roman" w:hAnsi="Times New Roman" w:cs="Times New Roman"/>
          <w:sz w:val="24"/>
          <w:szCs w:val="24"/>
          <w:vertAlign w:val="superscript"/>
          <w:lang w:val="en-GB" w:eastAsia="en-GB"/>
        </w:rPr>
        <w:footnoteReference w:id="39"/>
      </w:r>
      <w:r w:rsidRPr="00A46409">
        <w:rPr>
          <w:rFonts w:ascii="Times New Roman" w:eastAsia="Times New Roman" w:hAnsi="Times New Roman" w:cs="Times New Roman"/>
          <w:sz w:val="24"/>
          <w:szCs w:val="24"/>
          <w:lang w:val="en-GB" w:eastAsia="en-GB"/>
        </w:rPr>
        <w:t xml:space="preserve">  </w:t>
      </w:r>
      <w:proofErr w:type="spellStart"/>
      <w:proofErr w:type="gramStart"/>
      <w:r w:rsidRPr="007F5029">
        <w:rPr>
          <w:rFonts w:ascii="Times New Roman" w:eastAsia="Times New Roman" w:hAnsi="Times New Roman" w:cs="Times New Roman"/>
          <w:sz w:val="24"/>
          <w:szCs w:val="24"/>
          <w:lang w:val="en-GB" w:eastAsia="en-GB"/>
        </w:rPr>
        <w:t>Mursilli</w:t>
      </w:r>
      <w:proofErr w:type="spellEnd"/>
      <w:r w:rsidRPr="007F5029">
        <w:rPr>
          <w:rFonts w:ascii="Times New Roman" w:eastAsia="Times New Roman" w:hAnsi="Times New Roman" w:cs="Times New Roman"/>
          <w:sz w:val="24"/>
          <w:szCs w:val="24"/>
          <w:lang w:val="en-GB" w:eastAsia="en-GB"/>
        </w:rPr>
        <w:t xml:space="preserve"> II records making “Mt. </w:t>
      </w:r>
      <w:proofErr w:type="spellStart"/>
      <w:r w:rsidRPr="007F5029">
        <w:rPr>
          <w:rFonts w:ascii="Times New Roman" w:eastAsia="Times New Roman" w:hAnsi="Times New Roman" w:cs="Times New Roman"/>
          <w:sz w:val="24"/>
          <w:szCs w:val="24"/>
          <w:lang w:val="en-GB" w:eastAsia="en-GB"/>
        </w:rPr>
        <w:t>Asharpaya</w:t>
      </w:r>
      <w:proofErr w:type="spellEnd"/>
      <w:r w:rsidRPr="007F5029">
        <w:rPr>
          <w:rFonts w:ascii="Times New Roman" w:eastAsia="Times New Roman" w:hAnsi="Times New Roman" w:cs="Times New Roman"/>
          <w:sz w:val="24"/>
          <w:szCs w:val="24"/>
          <w:lang w:val="en-GB" w:eastAsia="en-GB"/>
        </w:rPr>
        <w:t xml:space="preserve"> empty (of humanity)” and the “mountains of </w:t>
      </w:r>
      <w:proofErr w:type="spellStart"/>
      <w:r w:rsidRPr="007F5029">
        <w:rPr>
          <w:rFonts w:ascii="Times New Roman" w:eastAsia="Times New Roman" w:hAnsi="Times New Roman" w:cs="Times New Roman"/>
          <w:sz w:val="24"/>
          <w:szCs w:val="24"/>
          <w:lang w:val="en-GB" w:eastAsia="en-GB"/>
        </w:rPr>
        <w:t>Tarikarimu</w:t>
      </w:r>
      <w:proofErr w:type="spellEnd"/>
      <w:r w:rsidRPr="007F5029">
        <w:rPr>
          <w:rFonts w:ascii="Times New Roman" w:eastAsia="Times New Roman" w:hAnsi="Times New Roman" w:cs="Times New Roman"/>
          <w:sz w:val="24"/>
          <w:szCs w:val="24"/>
          <w:lang w:val="en-GB" w:eastAsia="en-GB"/>
        </w:rPr>
        <w:t xml:space="preserve"> empty (of humanity).”</w:t>
      </w:r>
      <w:proofErr w:type="gramEnd"/>
      <w:r w:rsidRPr="00A46409">
        <w:rPr>
          <w:rFonts w:ascii="Times New Roman" w:eastAsia="Times New Roman" w:hAnsi="Times New Roman" w:cs="Times New Roman"/>
          <w:sz w:val="24"/>
          <w:szCs w:val="24"/>
          <w:vertAlign w:val="superscript"/>
          <w:lang w:val="en-GB" w:eastAsia="en-GB"/>
        </w:rPr>
        <w:footnoteReference w:id="40"/>
      </w:r>
      <w:r w:rsidRPr="007F5029">
        <w:rPr>
          <w:rFonts w:ascii="Times New Roman" w:eastAsia="Times New Roman" w:hAnsi="Times New Roman" w:cs="Times New Roman"/>
          <w:sz w:val="24"/>
          <w:szCs w:val="24"/>
          <w:lang w:val="en-GB" w:eastAsia="en-GB"/>
        </w:rPr>
        <w:t xml:space="preserve">  </w:t>
      </w:r>
      <w:proofErr w:type="spellStart"/>
      <w:r w:rsidRPr="007F5029">
        <w:rPr>
          <w:rFonts w:ascii="Times New Roman" w:eastAsia="Times New Roman" w:hAnsi="Times New Roman" w:cs="Times New Roman"/>
          <w:sz w:val="24"/>
          <w:szCs w:val="24"/>
          <w:lang w:val="en-GB" w:eastAsia="en-GB"/>
        </w:rPr>
        <w:t>Mesha</w:t>
      </w:r>
      <w:proofErr w:type="spellEnd"/>
      <w:r w:rsidRPr="007F5029">
        <w:rPr>
          <w:rFonts w:ascii="Times New Roman" w:eastAsia="Times New Roman" w:hAnsi="Times New Roman" w:cs="Times New Roman"/>
          <w:sz w:val="24"/>
          <w:szCs w:val="24"/>
          <w:lang w:val="en-GB" w:eastAsia="en-GB"/>
        </w:rPr>
        <w:t xml:space="preserve"> (whom Kitchen cited as stating “Israel has utterly perished for always”) describes victories in terms of him fighting against a town, taking it and then killing all the inhabitants of the town.</w:t>
      </w:r>
      <w:r w:rsidRPr="00A46409">
        <w:rPr>
          <w:rFonts w:ascii="Times New Roman" w:eastAsia="Times New Roman" w:hAnsi="Times New Roman" w:cs="Times New Roman"/>
          <w:sz w:val="24"/>
          <w:szCs w:val="24"/>
          <w:vertAlign w:val="superscript"/>
          <w:lang w:val="en-GB" w:eastAsia="en-GB"/>
        </w:rPr>
        <w:footnoteReference w:id="41"/>
      </w:r>
      <w:r w:rsidRPr="00A46409">
        <w:rPr>
          <w:rFonts w:ascii="Times New Roman" w:eastAsia="Times New Roman" w:hAnsi="Times New Roman" w:cs="Times New Roman"/>
          <w:sz w:val="24"/>
          <w:szCs w:val="24"/>
          <w:lang w:val="en-GB" w:eastAsia="en-GB"/>
        </w:rPr>
        <w:t xml:space="preserve">  </w:t>
      </w:r>
      <w:r w:rsidRPr="007F5029">
        <w:rPr>
          <w:rFonts w:ascii="Times New Roman" w:eastAsia="Times New Roman" w:hAnsi="Times New Roman" w:cs="Times New Roman"/>
          <w:sz w:val="24"/>
          <w:szCs w:val="24"/>
          <w:lang w:val="en-GB" w:eastAsia="en-GB"/>
        </w:rPr>
        <w:t xml:space="preserve">Similarly, The Bulletin of Ramses II, a historical narrative of Egyptian military campaigns into Syria, narrates Egypt’s considerably less-than-decisive victory at the battle of </w:t>
      </w:r>
      <w:proofErr w:type="spellStart"/>
      <w:r w:rsidRPr="007F5029">
        <w:rPr>
          <w:rFonts w:ascii="Times New Roman" w:eastAsia="Times New Roman" w:hAnsi="Times New Roman" w:cs="Times New Roman"/>
          <w:sz w:val="24"/>
          <w:szCs w:val="24"/>
          <w:lang w:val="en-GB" w:eastAsia="en-GB"/>
        </w:rPr>
        <w:t>Kadesh</w:t>
      </w:r>
      <w:proofErr w:type="spellEnd"/>
      <w:r w:rsidRPr="007F5029">
        <w:rPr>
          <w:rFonts w:ascii="Times New Roman" w:eastAsia="Times New Roman" w:hAnsi="Times New Roman" w:cs="Times New Roman"/>
          <w:sz w:val="24"/>
          <w:szCs w:val="24"/>
          <w:lang w:val="en-GB" w:eastAsia="en-GB"/>
        </w:rPr>
        <w:t xml:space="preserve"> with the following rhetoric:</w:t>
      </w:r>
    </w:p>
    <w:p w:rsidR="001A6C34" w:rsidRPr="00A4640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His majesty slew the</w:t>
      </w:r>
      <w:r w:rsidRPr="00A46409">
        <w:rPr>
          <w:rFonts w:ascii="Times New Roman" w:eastAsia="Times New Roman" w:hAnsi="Times New Roman" w:cs="Times New Roman"/>
          <w:sz w:val="24"/>
          <w:szCs w:val="24"/>
          <w:lang w:val="en-GB" w:eastAsia="en-GB"/>
        </w:rPr>
        <w:t> </w:t>
      </w:r>
      <w:r w:rsidRPr="00A46409">
        <w:rPr>
          <w:rFonts w:ascii="Times New Roman" w:eastAsia="Times New Roman" w:hAnsi="Times New Roman" w:cs="Times New Roman"/>
          <w:i/>
          <w:iCs/>
          <w:sz w:val="24"/>
          <w:szCs w:val="24"/>
          <w:lang w:val="en-GB" w:eastAsia="en-GB"/>
        </w:rPr>
        <w:t>entire force</w:t>
      </w:r>
      <w:r w:rsidRPr="00A46409">
        <w:rPr>
          <w:rFonts w:ascii="Times New Roman" w:eastAsia="Times New Roman" w:hAnsi="Times New Roman" w:cs="Times New Roman"/>
          <w:sz w:val="24"/>
          <w:szCs w:val="24"/>
          <w:lang w:val="en-GB" w:eastAsia="en-GB"/>
        </w:rPr>
        <w:t> </w:t>
      </w:r>
      <w:r w:rsidRPr="007F5029">
        <w:rPr>
          <w:rFonts w:ascii="Times New Roman" w:eastAsia="Times New Roman" w:hAnsi="Times New Roman" w:cs="Times New Roman"/>
          <w:sz w:val="24"/>
          <w:szCs w:val="24"/>
          <w:lang w:val="en-GB" w:eastAsia="en-GB"/>
        </w:rPr>
        <w:t xml:space="preserve">of the wretched foe from </w:t>
      </w:r>
      <w:proofErr w:type="spellStart"/>
      <w:r w:rsidRPr="007F5029">
        <w:rPr>
          <w:rFonts w:ascii="Times New Roman" w:eastAsia="Times New Roman" w:hAnsi="Times New Roman" w:cs="Times New Roman"/>
          <w:sz w:val="24"/>
          <w:szCs w:val="24"/>
          <w:lang w:val="en-GB" w:eastAsia="en-GB"/>
        </w:rPr>
        <w:t>Hatti</w:t>
      </w:r>
      <w:proofErr w:type="spellEnd"/>
      <w:r w:rsidRPr="007F5029">
        <w:rPr>
          <w:rFonts w:ascii="Times New Roman" w:eastAsia="Times New Roman" w:hAnsi="Times New Roman" w:cs="Times New Roman"/>
          <w:sz w:val="24"/>
          <w:szCs w:val="24"/>
          <w:lang w:val="en-GB" w:eastAsia="en-GB"/>
        </w:rPr>
        <w:t>, together with his great chiefs and all his brothers, as well as</w:t>
      </w:r>
      <w:r w:rsidRPr="00A46409">
        <w:rPr>
          <w:rFonts w:ascii="Times New Roman" w:eastAsia="Times New Roman" w:hAnsi="Times New Roman" w:cs="Times New Roman"/>
          <w:sz w:val="24"/>
          <w:szCs w:val="24"/>
          <w:lang w:val="en-GB" w:eastAsia="en-GB"/>
        </w:rPr>
        <w:t> </w:t>
      </w:r>
      <w:r w:rsidRPr="00A46409">
        <w:rPr>
          <w:rFonts w:ascii="Times New Roman" w:eastAsia="Times New Roman" w:hAnsi="Times New Roman" w:cs="Times New Roman"/>
          <w:i/>
          <w:iCs/>
          <w:sz w:val="24"/>
          <w:szCs w:val="24"/>
          <w:lang w:val="en-GB" w:eastAsia="en-GB"/>
        </w:rPr>
        <w:t>all</w:t>
      </w:r>
      <w:r w:rsidRPr="00A46409">
        <w:rPr>
          <w:rFonts w:ascii="Times New Roman" w:eastAsia="Times New Roman" w:hAnsi="Times New Roman" w:cs="Times New Roman"/>
          <w:sz w:val="24"/>
          <w:szCs w:val="24"/>
          <w:lang w:val="en-GB" w:eastAsia="en-GB"/>
        </w:rPr>
        <w:t> </w:t>
      </w:r>
      <w:r w:rsidRPr="007F5029">
        <w:rPr>
          <w:rFonts w:ascii="Times New Roman" w:eastAsia="Times New Roman" w:hAnsi="Times New Roman" w:cs="Times New Roman"/>
          <w:sz w:val="24"/>
          <w:szCs w:val="24"/>
          <w:lang w:val="en-GB" w:eastAsia="en-GB"/>
        </w:rPr>
        <w:t>the chiefs of</w:t>
      </w:r>
      <w:r w:rsidRPr="00A46409">
        <w:rPr>
          <w:rFonts w:ascii="Times New Roman" w:eastAsia="Times New Roman" w:hAnsi="Times New Roman" w:cs="Times New Roman"/>
          <w:sz w:val="24"/>
          <w:szCs w:val="24"/>
          <w:lang w:val="en-GB" w:eastAsia="en-GB"/>
        </w:rPr>
        <w:t> </w:t>
      </w:r>
      <w:r w:rsidRPr="00A46409">
        <w:rPr>
          <w:rFonts w:ascii="Times New Roman" w:eastAsia="Times New Roman" w:hAnsi="Times New Roman" w:cs="Times New Roman"/>
          <w:i/>
          <w:iCs/>
          <w:sz w:val="24"/>
          <w:szCs w:val="24"/>
          <w:lang w:val="en-GB" w:eastAsia="en-GB"/>
        </w:rPr>
        <w:t>all</w:t>
      </w:r>
      <w:r w:rsidRPr="00A46409">
        <w:rPr>
          <w:rFonts w:ascii="Times New Roman" w:eastAsia="Times New Roman" w:hAnsi="Times New Roman" w:cs="Times New Roman"/>
          <w:sz w:val="24"/>
          <w:szCs w:val="24"/>
          <w:lang w:val="en-GB" w:eastAsia="en-GB"/>
        </w:rPr>
        <w:t> </w:t>
      </w:r>
      <w:r w:rsidRPr="007F5029">
        <w:rPr>
          <w:rFonts w:ascii="Times New Roman" w:eastAsia="Times New Roman" w:hAnsi="Times New Roman" w:cs="Times New Roman"/>
          <w:sz w:val="24"/>
          <w:szCs w:val="24"/>
          <w:lang w:val="en-GB" w:eastAsia="en-GB"/>
        </w:rPr>
        <w:t xml:space="preserve">the countries that had come with him, their infantry and their </w:t>
      </w:r>
      <w:proofErr w:type="spellStart"/>
      <w:r w:rsidRPr="007F5029">
        <w:rPr>
          <w:rFonts w:ascii="Times New Roman" w:eastAsia="Times New Roman" w:hAnsi="Times New Roman" w:cs="Times New Roman"/>
          <w:sz w:val="24"/>
          <w:szCs w:val="24"/>
          <w:lang w:val="en-GB" w:eastAsia="en-GB"/>
        </w:rPr>
        <w:t>chariotry</w:t>
      </w:r>
      <w:proofErr w:type="spellEnd"/>
      <w:r w:rsidRPr="007F5029">
        <w:rPr>
          <w:rFonts w:ascii="Times New Roman" w:eastAsia="Times New Roman" w:hAnsi="Times New Roman" w:cs="Times New Roman"/>
          <w:sz w:val="24"/>
          <w:szCs w:val="24"/>
          <w:lang w:val="en-GB" w:eastAsia="en-GB"/>
        </w:rPr>
        <w:t xml:space="preserve"> falling on their faces one upon the other. His majesty slaughtered and slew them in their places. … He took no note of the</w:t>
      </w:r>
      <w:r w:rsidRPr="00A46409">
        <w:rPr>
          <w:rFonts w:ascii="Times New Roman" w:eastAsia="Times New Roman" w:hAnsi="Times New Roman" w:cs="Times New Roman"/>
          <w:sz w:val="24"/>
          <w:szCs w:val="24"/>
          <w:lang w:val="en-GB" w:eastAsia="en-GB"/>
        </w:rPr>
        <w:t> </w:t>
      </w:r>
      <w:r w:rsidRPr="00A46409">
        <w:rPr>
          <w:rFonts w:ascii="Times New Roman" w:eastAsia="Times New Roman" w:hAnsi="Times New Roman" w:cs="Times New Roman"/>
          <w:i/>
          <w:iCs/>
          <w:sz w:val="24"/>
          <w:szCs w:val="24"/>
          <w:lang w:val="en-GB" w:eastAsia="en-GB"/>
        </w:rPr>
        <w:t>millions</w:t>
      </w:r>
      <w:r w:rsidRPr="00A46409">
        <w:rPr>
          <w:rFonts w:ascii="Times New Roman" w:eastAsia="Times New Roman" w:hAnsi="Times New Roman" w:cs="Times New Roman"/>
          <w:sz w:val="24"/>
          <w:szCs w:val="24"/>
          <w:lang w:val="en-GB" w:eastAsia="en-GB"/>
        </w:rPr>
        <w:t> </w:t>
      </w:r>
      <w:r w:rsidRPr="007F5029">
        <w:rPr>
          <w:rFonts w:ascii="Times New Roman" w:eastAsia="Times New Roman" w:hAnsi="Times New Roman" w:cs="Times New Roman"/>
          <w:sz w:val="24"/>
          <w:szCs w:val="24"/>
          <w:lang w:val="en-GB" w:eastAsia="en-GB"/>
        </w:rPr>
        <w:t>of foreigners; he regarded them as</w:t>
      </w:r>
      <w:r w:rsidRPr="00A46409">
        <w:rPr>
          <w:rFonts w:ascii="Times New Roman" w:eastAsia="Times New Roman" w:hAnsi="Times New Roman" w:cs="Times New Roman"/>
          <w:i/>
          <w:iCs/>
          <w:sz w:val="24"/>
          <w:szCs w:val="24"/>
          <w:lang w:val="en-GB" w:eastAsia="en-GB"/>
        </w:rPr>
        <w:t> chaff</w:t>
      </w:r>
      <w:r w:rsidRPr="007F5029">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vertAlign w:val="superscript"/>
          <w:lang w:val="en-GB" w:eastAsia="en-GB"/>
        </w:rPr>
        <w:t xml:space="preserve"> </w:t>
      </w:r>
      <w:r w:rsidRPr="00A46409">
        <w:rPr>
          <w:rFonts w:ascii="Times New Roman" w:eastAsia="Times New Roman" w:hAnsi="Times New Roman" w:cs="Times New Roman"/>
          <w:sz w:val="24"/>
          <w:szCs w:val="24"/>
          <w:vertAlign w:val="superscript"/>
          <w:lang w:val="en-GB" w:eastAsia="en-GB"/>
        </w:rPr>
        <w:footnoteReference w:id="42"/>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lastRenderedPageBreak/>
        <w:t>Numerous other examples could be provided. The hyperbolic use of language similar to that in Joshua is strikingly evident.</w:t>
      </w:r>
      <w:r w:rsidRPr="00A46409">
        <w:rPr>
          <w:rFonts w:ascii="Times New Roman" w:eastAsia="Times New Roman" w:hAnsi="Times New Roman" w:cs="Times New Roman"/>
          <w:sz w:val="24"/>
          <w:szCs w:val="24"/>
          <w:vertAlign w:val="superscript"/>
          <w:lang w:val="en-GB" w:eastAsia="en-GB"/>
        </w:rPr>
        <w:footnoteReference w:id="43"/>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ab/>
      </w:r>
      <w:r w:rsidRPr="007F5029">
        <w:rPr>
          <w:rFonts w:ascii="Times New Roman" w:eastAsia="Times New Roman" w:hAnsi="Times New Roman" w:cs="Times New Roman"/>
          <w:sz w:val="24"/>
          <w:szCs w:val="24"/>
          <w:lang w:val="en-GB" w:eastAsia="en-GB"/>
        </w:rPr>
        <w:t>It is equally evident that histories of this sort are highly stylised and often use this exaggeration for what could be called hagiographic purposes to commend the kings as faithful servants of the gods rather than as literal descriptions of what occurred.</w:t>
      </w:r>
      <w:r w:rsidRPr="00A46409">
        <w:rPr>
          <w:rFonts w:ascii="Times New Roman" w:eastAsia="Times New Roman" w:hAnsi="Times New Roman" w:cs="Times New Roman"/>
          <w:sz w:val="24"/>
          <w:szCs w:val="24"/>
          <w:vertAlign w:val="superscript"/>
          <w:lang w:val="en-GB" w:eastAsia="en-GB"/>
        </w:rPr>
        <w:footnoteReference w:id="44"/>
      </w:r>
      <w:r w:rsidRPr="007F5029">
        <w:rPr>
          <w:rFonts w:ascii="Times New Roman" w:eastAsia="Times New Roman" w:hAnsi="Times New Roman" w:cs="Times New Roman"/>
          <w:sz w:val="24"/>
          <w:szCs w:val="24"/>
          <w:lang w:val="en-GB" w:eastAsia="en-GB"/>
        </w:rPr>
        <w:t xml:space="preserve"> They constitute “</w:t>
      </w:r>
      <w:r w:rsidRPr="00A46409">
        <w:rPr>
          <w:rFonts w:ascii="Times New Roman" w:eastAsia="Times New Roman" w:hAnsi="Times New Roman" w:cs="Times New Roman"/>
          <w:sz w:val="24"/>
          <w:szCs w:val="24"/>
          <w:lang w:val="en-GB" w:eastAsia="en-GB"/>
        </w:rPr>
        <w:t>monumental hyperbole.</w:t>
      </w:r>
      <w:r w:rsidRPr="007F5029">
        <w:rPr>
          <w:rFonts w:ascii="Times New Roman" w:eastAsia="Times New Roman" w:hAnsi="Times New Roman" w:cs="Times New Roman"/>
          <w:sz w:val="24"/>
          <w:szCs w:val="24"/>
          <w:lang w:val="en-GB" w:eastAsia="en-GB"/>
        </w:rPr>
        <w:t>”</w:t>
      </w:r>
      <w:r w:rsidRPr="00A46409">
        <w:rPr>
          <w:rFonts w:ascii="Times New Roman" w:eastAsia="Times New Roman" w:hAnsi="Times New Roman" w:cs="Times New Roman"/>
          <w:sz w:val="24"/>
          <w:szCs w:val="24"/>
          <w:vertAlign w:val="superscript"/>
          <w:lang w:val="en-GB" w:eastAsia="en-GB"/>
        </w:rPr>
        <w:footnoteReference w:id="45"/>
      </w:r>
      <w:r w:rsidRPr="007F5029">
        <w:rPr>
          <w:rFonts w:ascii="Times New Roman" w:eastAsia="Times New Roman" w:hAnsi="Times New Roman" w:cs="Times New Roman"/>
          <w:sz w:val="24"/>
          <w:szCs w:val="24"/>
          <w:lang w:val="en-GB" w:eastAsia="en-GB"/>
        </w:rPr>
        <w:t xml:space="preserve"> </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Three things become evident about the book of Joshua as we study the evidence.  First, taken as a single narrative and taken literally, Joshua 1-11 gives a</w:t>
      </w:r>
      <w:r>
        <w:rPr>
          <w:rFonts w:ascii="Times New Roman" w:eastAsia="Times New Roman" w:hAnsi="Times New Roman" w:cs="Times New Roman"/>
          <w:sz w:val="24"/>
          <w:szCs w:val="24"/>
          <w:lang w:val="en-GB" w:eastAsia="en-GB"/>
        </w:rPr>
        <w:t xml:space="preserve">n </w:t>
      </w:r>
      <w:r w:rsidRPr="007F5029">
        <w:rPr>
          <w:rFonts w:ascii="Times New Roman" w:eastAsia="Times New Roman" w:hAnsi="Times New Roman" w:cs="Times New Roman"/>
          <w:sz w:val="24"/>
          <w:szCs w:val="24"/>
          <w:lang w:val="en-GB" w:eastAsia="en-GB"/>
        </w:rPr>
        <w:t xml:space="preserve">account of events </w:t>
      </w:r>
      <w:r>
        <w:rPr>
          <w:rFonts w:ascii="Times New Roman" w:eastAsia="Times New Roman" w:hAnsi="Times New Roman" w:cs="Times New Roman"/>
          <w:sz w:val="24"/>
          <w:szCs w:val="24"/>
          <w:lang w:val="en-GB" w:eastAsia="en-GB"/>
        </w:rPr>
        <w:t xml:space="preserve">at odds with </w:t>
      </w:r>
      <w:r w:rsidRPr="007F5029">
        <w:rPr>
          <w:rFonts w:ascii="Times New Roman" w:eastAsia="Times New Roman" w:hAnsi="Times New Roman" w:cs="Times New Roman"/>
          <w:sz w:val="24"/>
          <w:szCs w:val="24"/>
          <w:lang w:val="en-GB" w:eastAsia="en-GB"/>
        </w:rPr>
        <w:t xml:space="preserve">that narrated by Judges and also </w:t>
      </w:r>
      <w:r>
        <w:rPr>
          <w:rFonts w:ascii="Times New Roman" w:eastAsia="Times New Roman" w:hAnsi="Times New Roman" w:cs="Times New Roman"/>
          <w:sz w:val="24"/>
          <w:szCs w:val="24"/>
          <w:lang w:val="en-GB" w:eastAsia="en-GB"/>
        </w:rPr>
        <w:t>with</w:t>
      </w:r>
      <w:r w:rsidRPr="007F5029">
        <w:rPr>
          <w:rFonts w:ascii="Times New Roman" w:eastAsia="Times New Roman" w:hAnsi="Times New Roman" w:cs="Times New Roman"/>
          <w:sz w:val="24"/>
          <w:szCs w:val="24"/>
          <w:lang w:val="en-GB" w:eastAsia="en-GB"/>
        </w:rPr>
        <w:t xml:space="preserve"> that narrated by the later chapters of Joshua itself.  Second is that, as Wolterstorff</w:t>
      </w:r>
      <w:r>
        <w:rPr>
          <w:rFonts w:ascii="Times New Roman" w:eastAsia="Times New Roman" w:hAnsi="Times New Roman" w:cs="Times New Roman"/>
          <w:sz w:val="24"/>
          <w:szCs w:val="24"/>
          <w:lang w:val="en-GB" w:eastAsia="en-GB"/>
        </w:rPr>
        <w:t xml:space="preserve"> commented,</w:t>
      </w:r>
      <w:r w:rsidRPr="007F5029">
        <w:rPr>
          <w:rFonts w:ascii="Times New Roman" w:eastAsia="Times New Roman" w:hAnsi="Times New Roman" w:cs="Times New Roman"/>
          <w:sz w:val="24"/>
          <w:szCs w:val="24"/>
          <w:lang w:val="en-GB" w:eastAsia="en-GB"/>
        </w:rPr>
        <w:t xml:space="preserve"> “</w:t>
      </w:r>
      <w:proofErr w:type="gramStart"/>
      <w:r w:rsidRPr="007F5029">
        <w:rPr>
          <w:rFonts w:ascii="Times New Roman" w:eastAsia="Times New Roman" w:hAnsi="Times New Roman" w:cs="Times New Roman"/>
          <w:sz w:val="24"/>
          <w:szCs w:val="24"/>
          <w:lang w:val="en-GB" w:eastAsia="en-GB"/>
        </w:rPr>
        <w:t>those</w:t>
      </w:r>
      <w:proofErr w:type="gramEnd"/>
      <w:r w:rsidRPr="007F5029">
        <w:rPr>
          <w:rFonts w:ascii="Times New Roman" w:eastAsia="Times New Roman" w:hAnsi="Times New Roman" w:cs="Times New Roman"/>
          <w:sz w:val="24"/>
          <w:szCs w:val="24"/>
          <w:lang w:val="en-GB" w:eastAsia="en-GB"/>
        </w:rPr>
        <w:t xml:space="preserve"> who edited the final version of these writings into one sequence were not mindless,” particularly if God speaks through them.  Third, while Judges reads as “down to earth history,” a careful reading of Joshua reveals it to be full of ritualistic, stylised, accounts, formulaic language. This third point is supported by research into ancient Near Eastern conquest accounts. Such studies show (a) such accounts are highly hyperbolic, hagiographic, figurative and follow a common transmission code, (b) comparisons between these accounts and </w:t>
      </w:r>
      <w:r w:rsidRPr="007F5029">
        <w:rPr>
          <w:rFonts w:ascii="Times New Roman" w:eastAsia="Times New Roman" w:hAnsi="Times New Roman" w:cs="Times New Roman"/>
          <w:sz w:val="24"/>
          <w:szCs w:val="24"/>
          <w:lang w:val="en-GB" w:eastAsia="en-GB"/>
        </w:rPr>
        <w:lastRenderedPageBreak/>
        <w:t>the early chapters of Joshua suggest Joshua is written according to the same literary conventions and transmission code, (c) part of this transmission code is to hyperbolically portray a victory in absolute terms of totally destroying the enemy or in terms of miraculous divine intervention:  “such statements are rhetoric indicative of military victory,”</w:t>
      </w:r>
      <w:r w:rsidRPr="007F5029">
        <w:rPr>
          <w:rFonts w:ascii="Times New Roman" w:eastAsia="Times New Roman" w:hAnsi="Times New Roman" w:cs="Times New Roman"/>
          <w:sz w:val="24"/>
          <w:szCs w:val="24"/>
          <w:vertAlign w:val="superscript"/>
          <w:lang w:val="en-GB" w:eastAsia="en-GB"/>
        </w:rPr>
        <w:footnoteReference w:id="46"/>
      </w:r>
      <w:r w:rsidRPr="007F5029">
        <w:rPr>
          <w:rFonts w:ascii="Times New Roman" w:eastAsia="Times New Roman" w:hAnsi="Times New Roman" w:cs="Times New Roman"/>
          <w:sz w:val="24"/>
          <w:szCs w:val="24"/>
          <w:lang w:val="en-GB" w:eastAsia="en-GB"/>
        </w:rPr>
        <w:t xml:space="preserve"> not literal descriptions of what occurred.</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I think these three points, taken together, provide compelling reasons for thinking that one should interpret the text as a highly figurative and hyperbolic account of what occurred. In light of these factors</w:t>
      </w:r>
      <w:r>
        <w:rPr>
          <w:rFonts w:ascii="Times New Roman" w:eastAsia="Times New Roman" w:hAnsi="Times New Roman" w:cs="Times New Roman"/>
          <w:sz w:val="24"/>
          <w:szCs w:val="24"/>
          <w:lang w:val="en-GB" w:eastAsia="en-GB"/>
        </w:rPr>
        <w:t>,</w:t>
      </w:r>
      <w:r w:rsidRPr="007F5029">
        <w:rPr>
          <w:rFonts w:ascii="Times New Roman" w:eastAsia="Times New Roman" w:hAnsi="Times New Roman" w:cs="Times New Roman"/>
          <w:sz w:val="24"/>
          <w:szCs w:val="24"/>
          <w:lang w:val="en-GB" w:eastAsia="en-GB"/>
        </w:rPr>
        <w:t xml:space="preserve"> it seems sensible to conclude that the accounts of battles in Joshua 6-11 are not meant to be taken literally. </w:t>
      </w:r>
    </w:p>
    <w:p w:rsidR="001A6C34" w:rsidRPr="00A46409" w:rsidRDefault="001A6C34" w:rsidP="001A6C34">
      <w:pPr>
        <w:tabs>
          <w:tab w:val="left" w:pos="540"/>
        </w:tabs>
        <w:spacing w:after="0" w:line="360" w:lineRule="auto"/>
        <w:ind w:right="-58"/>
        <w:rPr>
          <w:rFonts w:ascii="Times New Roman" w:eastAsia="Times New Roman" w:hAnsi="Times New Roman" w:cs="Times New Roman"/>
          <w:color w:val="000000"/>
          <w:sz w:val="24"/>
          <w:szCs w:val="24"/>
          <w:lang w:val="en-GB" w:eastAsia="en-GB"/>
        </w:rPr>
      </w:pPr>
    </w:p>
    <w:p w:rsidR="001A6C34" w:rsidRPr="007F5029" w:rsidRDefault="001A6C34" w:rsidP="001A6C34">
      <w:pPr>
        <w:tabs>
          <w:tab w:val="left" w:pos="540"/>
        </w:tabs>
        <w:spacing w:after="0" w:line="360" w:lineRule="auto"/>
        <w:ind w:right="-58"/>
        <w:jc w:val="center"/>
        <w:rPr>
          <w:rFonts w:ascii="Times New Roman" w:eastAsia="Times New Roman" w:hAnsi="Times New Roman" w:cs="Times New Roman"/>
          <w:b/>
          <w:sz w:val="24"/>
          <w:szCs w:val="24"/>
          <w:lang w:val="en-GB" w:eastAsia="en-GB"/>
        </w:rPr>
      </w:pPr>
      <w:r w:rsidRPr="007F5029">
        <w:rPr>
          <w:rFonts w:ascii="Times New Roman" w:eastAsia="Times New Roman" w:hAnsi="Times New Roman" w:cs="Times New Roman"/>
          <w:b/>
          <w:sz w:val="24"/>
          <w:szCs w:val="24"/>
          <w:lang w:val="en-GB" w:eastAsia="en-GB"/>
        </w:rPr>
        <w:t>Implications</w:t>
      </w: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We can draw two important implications in light of what we have seen so far.  First, as Wolterstorff asserts, on the assumption that Deuteronomy and Joshua are both literarily/linguistically connected and canonically sequenced, </w:t>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proofErr w:type="gramStart"/>
      <w:r w:rsidRPr="007F5029">
        <w:rPr>
          <w:rFonts w:ascii="Times New Roman" w:eastAsia="Times New Roman" w:hAnsi="Times New Roman" w:cs="Times New Roman"/>
          <w:sz w:val="24"/>
          <w:szCs w:val="24"/>
          <w:lang w:val="en-GB" w:eastAsia="en-GB"/>
        </w:rPr>
        <w:t>this</w:t>
      </w:r>
      <w:proofErr w:type="gramEnd"/>
      <w:r w:rsidRPr="007F5029">
        <w:rPr>
          <w:rFonts w:ascii="Times New Roman" w:eastAsia="Times New Roman" w:hAnsi="Times New Roman" w:cs="Times New Roman"/>
          <w:sz w:val="24"/>
          <w:szCs w:val="24"/>
          <w:lang w:val="en-GB" w:eastAsia="en-GB"/>
        </w:rPr>
        <w:t xml:space="preserve"> interpretation of Joshua forces a back-interpretation of Deuteronomy. If “struck down all the inhabitants with the edge of the sword” is a literary convention when used to describe Joshua’s exploits, then it is likewise a literary convention when similar words are used by Moses in his instructions to Israel in general and to Joshua in particular.</w:t>
      </w:r>
      <w:r w:rsidRPr="00A46409">
        <w:rPr>
          <w:rFonts w:ascii="Times New Roman" w:eastAsia="Times New Roman" w:hAnsi="Times New Roman" w:cs="Times New Roman"/>
          <w:sz w:val="24"/>
          <w:szCs w:val="24"/>
          <w:vertAlign w:val="superscript"/>
          <w:lang w:val="en-GB" w:eastAsia="en-GB"/>
        </w:rPr>
        <w:footnoteReference w:id="47"/>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p>
    <w:p w:rsidR="001A6C34" w:rsidRPr="00A4640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 xml:space="preserve">I think Wolterstorff is correct here: this interpretation of Joshua does force a back-interpretation of Deuteronomy. Deuteronomy 7:2 states “when </w:t>
      </w:r>
      <w:r w:rsidRPr="00A46409">
        <w:rPr>
          <w:rFonts w:ascii="Times New Roman" w:eastAsia="Times New Roman" w:hAnsi="Times New Roman" w:cs="Times New Roman"/>
          <w:sz w:val="24"/>
          <w:szCs w:val="24"/>
          <w:lang w:val="en-GB" w:eastAsia="en-GB"/>
        </w:rPr>
        <w:t xml:space="preserve">the </w:t>
      </w:r>
      <w:r w:rsidRPr="00A46409">
        <w:rPr>
          <w:rFonts w:ascii="Times New Roman" w:eastAsia="Times New Roman" w:hAnsi="Times New Roman" w:cs="Times New Roman"/>
          <w:smallCaps/>
          <w:sz w:val="24"/>
          <w:szCs w:val="24"/>
          <w:lang w:val="en-GB" w:eastAsia="en-GB"/>
        </w:rPr>
        <w:t>Lord</w:t>
      </w:r>
      <w:r w:rsidRPr="00A46409">
        <w:rPr>
          <w:rFonts w:ascii="Times New Roman" w:eastAsia="Times New Roman" w:hAnsi="Times New Roman" w:cs="Times New Roman"/>
          <w:sz w:val="24"/>
          <w:szCs w:val="24"/>
          <w:lang w:val="en-GB" w:eastAsia="en-GB"/>
        </w:rPr>
        <w:t xml:space="preserve"> your God has given them up before you and you have struck them, you shall utterly destroy them.”  </w:t>
      </w:r>
      <w:r w:rsidRPr="007F5029">
        <w:rPr>
          <w:rFonts w:ascii="Times New Roman" w:eastAsia="Times New Roman" w:hAnsi="Times New Roman" w:cs="Times New Roman"/>
          <w:sz w:val="24"/>
          <w:szCs w:val="24"/>
          <w:lang w:val="en-GB" w:eastAsia="en-GB"/>
        </w:rPr>
        <w:t xml:space="preserve">Similarly, Deuteronomy 20:16-17 commands: “do not leave alive anything that breathes.  Completely destroy them.”  In Joshua 10 one sees the formulaic language of “and the </w:t>
      </w:r>
      <w:r w:rsidRPr="00A46409">
        <w:rPr>
          <w:rFonts w:ascii="Times New Roman" w:eastAsia="Times New Roman" w:hAnsi="Times New Roman" w:cs="Times New Roman"/>
          <w:smallCaps/>
          <w:sz w:val="24"/>
          <w:szCs w:val="24"/>
          <w:lang w:val="en-GB" w:eastAsia="en-GB"/>
        </w:rPr>
        <w:t>Lord</w:t>
      </w:r>
      <w:r w:rsidRPr="007F5029">
        <w:rPr>
          <w:rFonts w:ascii="Times New Roman" w:eastAsia="Times New Roman" w:hAnsi="Times New Roman" w:cs="Times New Roman"/>
          <w:sz w:val="24"/>
          <w:szCs w:val="24"/>
          <w:lang w:val="en-GB" w:eastAsia="en-GB"/>
        </w:rPr>
        <w:t xml:space="preserve"> gave</w:t>
      </w:r>
      <w:r w:rsidRPr="00A46409">
        <w:rPr>
          <w:rFonts w:ascii="Times New Roman" w:eastAsia="Times New Roman" w:hAnsi="Times New Roman" w:cs="Times New Roman"/>
          <w:sz w:val="24"/>
          <w:szCs w:val="24"/>
          <w:lang w:val="en-GB" w:eastAsia="en-GB"/>
        </w:rPr>
        <w:t xml:space="preserve"> [the city]” and he/they “struck it and its king with the edge of the sword” until “there was no one remaining” (NRSV).  The chapter is summarized with the phrase, “So Joshua defeated the whole land…; he left no one remaining, but utterly destroyed all that breathed” (v. 40, NRSV). The similar phraseology is evident.</w:t>
      </w:r>
    </w:p>
    <w:p w:rsidR="001A6C34" w:rsidRPr="007F5029" w:rsidRDefault="001A6C34" w:rsidP="001A6C34">
      <w:pPr>
        <w:spacing w:after="0" w:line="480" w:lineRule="auto"/>
        <w:rPr>
          <w:rFonts w:ascii="Times New Roman" w:eastAsia="Times New Roman" w:hAnsi="Times New Roman" w:cs="Times New Roman"/>
          <w:color w:val="000000"/>
          <w:sz w:val="24"/>
          <w:szCs w:val="24"/>
          <w:lang w:val="en-GB" w:eastAsia="en-GB"/>
        </w:rPr>
      </w:pPr>
      <w:r w:rsidRPr="00A46409">
        <w:rPr>
          <w:rFonts w:ascii="Times New Roman" w:eastAsia="Times New Roman" w:hAnsi="Times New Roman" w:cs="Times New Roman"/>
          <w:sz w:val="24"/>
          <w:szCs w:val="24"/>
          <w:lang w:val="en-GB" w:eastAsia="en-GB"/>
        </w:rPr>
        <w:lastRenderedPageBreak/>
        <w:tab/>
        <w:t>Moreover, t</w:t>
      </w:r>
      <w:r w:rsidRPr="007F5029">
        <w:rPr>
          <w:rFonts w:ascii="Times New Roman" w:eastAsia="Times New Roman" w:hAnsi="Times New Roman" w:cs="Times New Roman"/>
          <w:sz w:val="24"/>
          <w:szCs w:val="24"/>
          <w:lang w:val="en-GB" w:eastAsia="en-GB"/>
        </w:rPr>
        <w:t>he book of Joshua clearly, explicitly and repeatedly identifies what Joshua did in these chapters with the command that Moses had given regarding the Canaanites in Deuteronomy</w:t>
      </w:r>
      <w:r>
        <w:rPr>
          <w:rFonts w:ascii="Times New Roman" w:eastAsia="Times New Roman" w:hAnsi="Times New Roman" w:cs="Times New Roman"/>
          <w:sz w:val="24"/>
          <w:szCs w:val="24"/>
          <w:lang w:val="en-GB" w:eastAsia="en-GB"/>
        </w:rPr>
        <w:t>:</w:t>
      </w:r>
      <w:r w:rsidRPr="007F5029">
        <w:rPr>
          <w:rFonts w:ascii="Times New Roman" w:eastAsia="Times New Roman" w:hAnsi="Times New Roman" w:cs="Times New Roman"/>
          <w:sz w:val="24"/>
          <w:szCs w:val="24"/>
          <w:lang w:val="en-GB" w:eastAsia="en-GB"/>
        </w:rPr>
        <w:t xml:space="preserve"> </w:t>
      </w:r>
      <w:r w:rsidRPr="007F5029">
        <w:rPr>
          <w:rFonts w:ascii="Times New Roman" w:eastAsia="Times New Roman" w:hAnsi="Times New Roman" w:cs="Times New Roman"/>
          <w:color w:val="000000"/>
          <w:sz w:val="24"/>
          <w:szCs w:val="24"/>
          <w:lang w:val="en-GB" w:eastAsia="en-GB"/>
        </w:rPr>
        <w:t xml:space="preserve">“He left no survivors. He totally destroyed all who breathed, </w:t>
      </w:r>
      <w:r w:rsidRPr="00A46409">
        <w:rPr>
          <w:rFonts w:ascii="Times New Roman" w:eastAsia="Times New Roman" w:hAnsi="Times New Roman" w:cs="Times New Roman"/>
          <w:i/>
          <w:iCs/>
          <w:color w:val="000000"/>
          <w:sz w:val="24"/>
          <w:szCs w:val="24"/>
          <w:lang w:val="en-GB" w:eastAsia="en-GB"/>
        </w:rPr>
        <w:t xml:space="preserve">just as the </w:t>
      </w:r>
      <w:r w:rsidRPr="00A46409">
        <w:rPr>
          <w:rFonts w:ascii="Times New Roman" w:eastAsia="Times New Roman" w:hAnsi="Times New Roman" w:cs="Times New Roman"/>
          <w:i/>
          <w:iCs/>
          <w:smallCaps/>
          <w:color w:val="000000"/>
          <w:sz w:val="24"/>
          <w:szCs w:val="24"/>
          <w:lang w:val="en-GB" w:eastAsia="en-GB"/>
        </w:rPr>
        <w:t>Lord</w:t>
      </w:r>
      <w:r w:rsidRPr="00A46409">
        <w:rPr>
          <w:rFonts w:ascii="Times New Roman" w:eastAsia="Times New Roman" w:hAnsi="Times New Roman" w:cs="Times New Roman"/>
          <w:i/>
          <w:iCs/>
          <w:color w:val="000000"/>
          <w:sz w:val="24"/>
          <w:szCs w:val="24"/>
          <w:lang w:val="en-GB" w:eastAsia="en-GB"/>
        </w:rPr>
        <w:t xml:space="preserve"> </w:t>
      </w:r>
      <w:proofErr w:type="spellStart"/>
      <w:r w:rsidRPr="00A46409">
        <w:rPr>
          <w:rFonts w:ascii="Times New Roman" w:eastAsia="Times New Roman" w:hAnsi="Times New Roman" w:cs="Times New Roman"/>
          <w:i/>
          <w:iCs/>
          <w:smallCaps/>
          <w:sz w:val="24"/>
          <w:szCs w:val="24"/>
          <w:lang w:val="en-GB" w:eastAsia="en-GB"/>
        </w:rPr>
        <w:t>Lord</w:t>
      </w:r>
      <w:proofErr w:type="spellEnd"/>
      <w:r w:rsidRPr="00A46409">
        <w:rPr>
          <w:rFonts w:ascii="Times New Roman" w:eastAsia="Times New Roman" w:hAnsi="Times New Roman" w:cs="Times New Roman"/>
          <w:i/>
          <w:iCs/>
          <w:color w:val="000000"/>
          <w:sz w:val="24"/>
          <w:szCs w:val="24"/>
          <w:lang w:val="en-GB" w:eastAsia="en-GB"/>
        </w:rPr>
        <w:t>, the God of Israel, had commanded</w:t>
      </w:r>
      <w:r w:rsidRPr="007F5029">
        <w:rPr>
          <w:rFonts w:ascii="Times New Roman" w:eastAsia="Times New Roman" w:hAnsi="Times New Roman" w:cs="Times New Roman"/>
          <w:color w:val="000000"/>
          <w:sz w:val="24"/>
          <w:szCs w:val="24"/>
          <w:lang w:val="en-GB" w:eastAsia="en-GB"/>
        </w:rPr>
        <w:t>” (Joshua 10:40 NIV, e</w:t>
      </w:r>
      <w:r w:rsidRPr="00A46409">
        <w:rPr>
          <w:rFonts w:ascii="Times New Roman" w:eastAsia="Times New Roman" w:hAnsi="Times New Roman" w:cs="Times New Roman"/>
          <w:iCs/>
          <w:color w:val="000000"/>
          <w:sz w:val="24"/>
          <w:szCs w:val="24"/>
          <w:lang w:val="en-GB" w:eastAsia="en-GB"/>
        </w:rPr>
        <w:t>mphasis added). So, i</w:t>
      </w:r>
      <w:r w:rsidRPr="007F5029">
        <w:rPr>
          <w:rFonts w:ascii="Times New Roman" w:eastAsia="Times New Roman" w:hAnsi="Times New Roman" w:cs="Times New Roman"/>
          <w:sz w:val="24"/>
          <w:szCs w:val="24"/>
          <w:lang w:val="en-GB" w:eastAsia="en-GB"/>
        </w:rPr>
        <w:t>f the language of “striking all the people by the sword,” “leaving no survivors,” “totally destroying,” “striking all the inhabitants with the edge of the sword,” and so on, is hyperbolic (as the evidence suggests it is), then the command cannot have been intended to be taken literally.</w:t>
      </w:r>
    </w:p>
    <w:p w:rsidR="001A6C34" w:rsidRPr="007F5029" w:rsidRDefault="001A6C34" w:rsidP="001A6C34">
      <w:pPr>
        <w:tabs>
          <w:tab w:val="left" w:pos="540"/>
        </w:tabs>
        <w:autoSpaceDE w:val="0"/>
        <w:autoSpaceDN w:val="0"/>
        <w:adjustRightInd w:val="0"/>
        <w:spacing w:after="0" w:line="360" w:lineRule="auto"/>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ab/>
        <w:t>This understanding of Deuteronomy’s commands also solves some other interpretative problems. Here I will mention briefly three.</w:t>
      </w:r>
    </w:p>
    <w:p w:rsidR="001A6C34" w:rsidRPr="00A46409" w:rsidRDefault="001A6C34" w:rsidP="001A6C34">
      <w:pPr>
        <w:autoSpaceDE w:val="0"/>
        <w:autoSpaceDN w:val="0"/>
        <w:adjustRightInd w:val="0"/>
        <w:spacing w:after="0" w:line="480" w:lineRule="auto"/>
        <w:ind w:firstLine="54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(1) What God commanded regarding the Canaanites differs </w:t>
      </w:r>
      <w:r w:rsidRPr="007F5029">
        <w:rPr>
          <w:rFonts w:ascii="Times New Roman" w:eastAsia="Times New Roman" w:hAnsi="Times New Roman" w:cs="Times New Roman"/>
          <w:sz w:val="24"/>
          <w:szCs w:val="24"/>
          <w:lang w:val="en-GB" w:eastAsia="ja-JP"/>
        </w:rPr>
        <w:t>in various canonical books. As noted above, in Judges 2 when the angel of the</w:t>
      </w:r>
      <w:r w:rsidRPr="007F5029">
        <w:rPr>
          <w:rFonts w:ascii="Times New Roman" w:eastAsia="Times New Roman" w:hAnsi="Times New Roman" w:cs="Times New Roman"/>
          <w:i/>
          <w:sz w:val="24"/>
          <w:szCs w:val="24"/>
          <w:lang w:val="en-GB" w:eastAsia="ja-JP"/>
        </w:rPr>
        <w:t xml:space="preserve"> </w:t>
      </w:r>
      <w:r w:rsidRPr="00A46409">
        <w:rPr>
          <w:rFonts w:ascii="Times New Roman" w:eastAsia="Times New Roman" w:hAnsi="Times New Roman" w:cs="Times New Roman"/>
          <w:iCs/>
          <w:smallCaps/>
          <w:sz w:val="24"/>
          <w:szCs w:val="24"/>
          <w:lang w:val="en-GB" w:eastAsia="en-GB"/>
        </w:rPr>
        <w:t>Lord</w:t>
      </w:r>
      <w:r w:rsidRPr="007F5029">
        <w:rPr>
          <w:rFonts w:ascii="Times New Roman" w:eastAsia="Times New Roman" w:hAnsi="Times New Roman" w:cs="Times New Roman"/>
          <w:i/>
          <w:sz w:val="24"/>
          <w:szCs w:val="24"/>
          <w:lang w:val="en-GB" w:eastAsia="ja-JP"/>
        </w:rPr>
        <w:t xml:space="preserve"> </w:t>
      </w:r>
      <w:r w:rsidRPr="007F5029">
        <w:rPr>
          <w:rFonts w:ascii="Times New Roman" w:eastAsia="Times New Roman" w:hAnsi="Times New Roman" w:cs="Times New Roman"/>
          <w:sz w:val="24"/>
          <w:szCs w:val="24"/>
          <w:lang w:val="en-GB" w:eastAsia="ja-JP"/>
        </w:rPr>
        <w:t xml:space="preserve">refers back to the original command, it is stated in terms of </w:t>
      </w:r>
      <w:r w:rsidRPr="00A46409">
        <w:rPr>
          <w:rFonts w:ascii="Times New Roman" w:eastAsia="Times New Roman" w:hAnsi="Times New Roman" w:cs="Times New Roman"/>
          <w:sz w:val="24"/>
          <w:szCs w:val="24"/>
          <w:lang w:val="en-GB" w:eastAsia="en-GB"/>
        </w:rPr>
        <w:t>not making treaties with them, destroying their shrines and driving them out; it is not</w:t>
      </w:r>
      <w:r w:rsidRPr="00A46409">
        <w:rPr>
          <w:rFonts w:ascii="Times New Roman" w:eastAsia="Times New Roman" w:hAnsi="Times New Roman" w:cs="Times New Roman"/>
          <w:i/>
          <w:sz w:val="24"/>
          <w:szCs w:val="24"/>
          <w:lang w:val="en-GB" w:eastAsia="en-GB"/>
        </w:rPr>
        <w:t xml:space="preserve"> </w:t>
      </w:r>
      <w:r w:rsidRPr="00A46409">
        <w:rPr>
          <w:rFonts w:ascii="Times New Roman" w:eastAsia="Times New Roman" w:hAnsi="Times New Roman" w:cs="Times New Roman"/>
          <w:sz w:val="24"/>
          <w:szCs w:val="24"/>
          <w:lang w:val="en-GB" w:eastAsia="en-GB"/>
        </w:rPr>
        <w:t>stated in terms of literally extermina</w:t>
      </w:r>
      <w:bookmarkStart w:id="0" w:name="_GoBack"/>
      <w:bookmarkEnd w:id="0"/>
      <w:r w:rsidRPr="00A46409">
        <w:rPr>
          <w:rFonts w:ascii="Times New Roman" w:eastAsia="Times New Roman" w:hAnsi="Times New Roman" w:cs="Times New Roman"/>
          <w:sz w:val="24"/>
          <w:szCs w:val="24"/>
          <w:lang w:val="en-GB" w:eastAsia="en-GB"/>
        </w:rPr>
        <w:t>ting them. Similarly, in the earlier book of Exodus the command is given in terms of not allowing the Canaanites to live in the land, again, not in terms of extermination. This is significant. “Deuteronomy” in Greek means “second law”; and throughout Deuteronomy, Moses repeats laws already laid down in the book of Exodus, sometimes expanding on them.  The Decalogue, for example, which was delivered on Sinai in Exodus 20, is repeated again in Deuteronomy 5. The laws about releasing an </w:t>
      </w:r>
      <w:proofErr w:type="spellStart"/>
      <w:r w:rsidRPr="00A46409">
        <w:rPr>
          <w:rFonts w:ascii="Times New Roman" w:eastAsia="Times New Roman" w:hAnsi="Times New Roman" w:cs="Times New Roman"/>
          <w:i/>
          <w:iCs/>
          <w:sz w:val="24"/>
          <w:szCs w:val="24"/>
          <w:lang w:val="en-GB" w:eastAsia="en-GB"/>
        </w:rPr>
        <w:t>ebed</w:t>
      </w:r>
      <w:proofErr w:type="spellEnd"/>
      <w:r w:rsidRPr="00A46409">
        <w:rPr>
          <w:rFonts w:ascii="Times New Roman" w:eastAsia="Times New Roman" w:hAnsi="Times New Roman" w:cs="Times New Roman"/>
          <w:sz w:val="24"/>
          <w:szCs w:val="24"/>
          <w:lang w:val="en-GB" w:eastAsia="en-GB"/>
        </w:rPr>
        <w:t xml:space="preserve"> (an indentured servant) in Exodus 21:1 are repeated and expanded in Deuteronomy 15:12-18. Similarly, </w:t>
      </w:r>
      <w:r w:rsidRPr="00A46409">
        <w:rPr>
          <w:rFonts w:ascii="Times New Roman" w:eastAsia="Times New Roman" w:hAnsi="Times New Roman" w:cs="Times New Roman"/>
          <w:color w:val="000000"/>
          <w:sz w:val="24"/>
          <w:szCs w:val="24"/>
          <w:lang w:val="en-GB" w:eastAsia="en-GB"/>
        </w:rPr>
        <w:t>Deuteronomy 22:28-29 is a repetition of a law spelled out in Exodus 22:15.</w:t>
      </w:r>
      <w:r w:rsidRPr="00A46409">
        <w:rPr>
          <w:rFonts w:ascii="Times New Roman" w:eastAsia="Times New Roman" w:hAnsi="Times New Roman" w:cs="Times New Roman"/>
          <w:color w:val="000000"/>
          <w:sz w:val="24"/>
          <w:szCs w:val="24"/>
          <w:vertAlign w:val="superscript"/>
          <w:lang w:val="en-GB" w:eastAsia="en-GB"/>
        </w:rPr>
        <w:footnoteReference w:id="48"/>
      </w:r>
      <w:r w:rsidRPr="00A46409">
        <w:rPr>
          <w:rFonts w:ascii="Times New Roman" w:eastAsia="Times New Roman" w:hAnsi="Times New Roman" w:cs="Times New Roman"/>
          <w:sz w:val="24"/>
          <w:szCs w:val="24"/>
          <w:lang w:val="en-GB" w:eastAsia="en-GB"/>
        </w:rPr>
        <w:t xml:space="preserve"> The same occurs with the law under discussion. Deuteronomy 7 repeats the same promises and commands laid </w:t>
      </w:r>
      <w:r w:rsidRPr="00A46409">
        <w:rPr>
          <w:rFonts w:ascii="Times New Roman" w:eastAsia="Times New Roman" w:hAnsi="Times New Roman" w:cs="Times New Roman"/>
          <w:sz w:val="24"/>
          <w:szCs w:val="24"/>
          <w:lang w:val="en-GB" w:eastAsia="en-GB"/>
        </w:rPr>
        <w:lastRenderedPageBreak/>
        <w:t xml:space="preserve">down in Exodus 23:20-32; however, in Deuteronomy, the language of “destroy them” replaces the “do not let them live in your land” in Exodus. </w:t>
      </w:r>
      <w:proofErr w:type="spellStart"/>
      <w:r w:rsidRPr="00A46409">
        <w:rPr>
          <w:rFonts w:ascii="Times New Roman" w:eastAsia="Times New Roman" w:hAnsi="Times New Roman" w:cs="Times New Roman"/>
          <w:sz w:val="24"/>
          <w:szCs w:val="24"/>
          <w:lang w:val="en-GB" w:eastAsia="en-GB"/>
        </w:rPr>
        <w:t>Wolterstorff’s</w:t>
      </w:r>
      <w:proofErr w:type="spellEnd"/>
      <w:r w:rsidRPr="00A46409">
        <w:rPr>
          <w:rFonts w:ascii="Times New Roman" w:eastAsia="Times New Roman" w:hAnsi="Times New Roman" w:cs="Times New Roman"/>
          <w:sz w:val="24"/>
          <w:szCs w:val="24"/>
          <w:lang w:val="en-GB" w:eastAsia="en-GB"/>
        </w:rPr>
        <w:t xml:space="preserve"> interpretation explains this.</w:t>
      </w:r>
    </w:p>
    <w:p w:rsidR="001A6C34" w:rsidRPr="007F5029" w:rsidRDefault="001A6C34" w:rsidP="001A6C34">
      <w:pPr>
        <w:tabs>
          <w:tab w:val="left" w:pos="540"/>
        </w:tabs>
        <w:autoSpaceDE w:val="0"/>
        <w:autoSpaceDN w:val="0"/>
        <w:adjustRightInd w:val="0"/>
        <w:spacing w:after="0" w:line="480" w:lineRule="auto"/>
        <w:rPr>
          <w:rFonts w:ascii="Times New Roman" w:eastAsia="Times New Roman" w:hAnsi="Times New Roman" w:cs="Times New Roman"/>
          <w:sz w:val="24"/>
          <w:szCs w:val="24"/>
          <w:lang w:val="en-GB" w:eastAsia="ja-JP"/>
        </w:rPr>
      </w:pPr>
      <w:r>
        <w:rPr>
          <w:rFonts w:ascii="Times New Roman" w:eastAsia="Times New Roman" w:hAnsi="Times New Roman" w:cs="Times New Roman"/>
          <w:sz w:val="24"/>
          <w:szCs w:val="24"/>
          <w:lang w:val="en-GB" w:eastAsia="en-GB"/>
        </w:rPr>
        <w:tab/>
      </w:r>
      <w:r w:rsidRPr="007F5029">
        <w:rPr>
          <w:rFonts w:ascii="Times New Roman" w:eastAsia="Times New Roman" w:hAnsi="Times New Roman" w:cs="Times New Roman"/>
          <w:sz w:val="24"/>
          <w:szCs w:val="24"/>
          <w:lang w:val="en-GB" w:eastAsia="en-GB"/>
        </w:rPr>
        <w:t xml:space="preserve">(2) The word </w:t>
      </w:r>
      <w:proofErr w:type="spellStart"/>
      <w:r w:rsidRPr="007F5029">
        <w:rPr>
          <w:rFonts w:ascii="Times New Roman" w:eastAsia="Times New Roman" w:hAnsi="Times New Roman" w:cs="Times New Roman"/>
          <w:i/>
          <w:sz w:val="24"/>
          <w:szCs w:val="24"/>
          <w:lang w:val="en-GB" w:eastAsia="en-GB"/>
        </w:rPr>
        <w:t>herem</w:t>
      </w:r>
      <w:proofErr w:type="spellEnd"/>
      <w:r w:rsidRPr="007F5029">
        <w:rPr>
          <w:rFonts w:ascii="Times New Roman" w:eastAsia="Times New Roman" w:hAnsi="Times New Roman" w:cs="Times New Roman"/>
          <w:i/>
          <w:sz w:val="24"/>
          <w:szCs w:val="24"/>
          <w:lang w:val="en-GB" w:eastAsia="en-GB"/>
        </w:rPr>
        <w:t xml:space="preserve">, </w:t>
      </w:r>
      <w:r w:rsidRPr="007F5029">
        <w:rPr>
          <w:rFonts w:ascii="Times New Roman" w:eastAsia="Times New Roman" w:hAnsi="Times New Roman" w:cs="Times New Roman"/>
          <w:sz w:val="24"/>
          <w:szCs w:val="24"/>
          <w:lang w:val="en-GB" w:eastAsia="en-GB"/>
        </w:rPr>
        <w:t>which is translated “destroy” in Deuteronomy 7:2, has the primary meaning of the irrevocable giving-over or devotion of something to Yahweh and hence implies renunciation. The term has also developed a secondary secular meaning of “to destroy,”</w:t>
      </w:r>
      <w:r w:rsidRPr="00A46409">
        <w:rPr>
          <w:rFonts w:ascii="Times New Roman" w:eastAsia="Times New Roman" w:hAnsi="Times New Roman" w:cs="Times New Roman"/>
          <w:sz w:val="24"/>
          <w:szCs w:val="24"/>
          <w:vertAlign w:val="superscript"/>
          <w:lang w:val="en-GB" w:eastAsia="en-GB"/>
        </w:rPr>
        <w:footnoteReference w:id="49"/>
      </w:r>
      <w:r w:rsidRPr="007F5029">
        <w:rPr>
          <w:rFonts w:ascii="Times New Roman" w:eastAsia="Times New Roman" w:hAnsi="Times New Roman" w:cs="Times New Roman"/>
          <w:sz w:val="24"/>
          <w:szCs w:val="24"/>
          <w:lang w:val="en-GB" w:eastAsia="en-GB"/>
        </w:rPr>
        <w:t xml:space="preserve"> but, a literal reading of “destroy” here does not fit the context well. The command to “destroy” the Canaanites occurs alongside several other commands, “</w:t>
      </w:r>
      <w:r w:rsidRPr="00A46409">
        <w:rPr>
          <w:rFonts w:ascii="Times New Roman" w:eastAsia="Times New Roman" w:hAnsi="Times New Roman" w:cs="Times New Roman"/>
          <w:sz w:val="24"/>
          <w:szCs w:val="24"/>
          <w:lang w:val="en-GB" w:eastAsia="en-GB"/>
        </w:rPr>
        <w:t>Make no treaty with them, and show them no mercy. Do not intermarry with them. Do not give your daughters to their sons or take their daughters for your sons,”</w:t>
      </w:r>
      <w:r w:rsidRPr="00A46409">
        <w:rPr>
          <w:rFonts w:ascii="Times New Roman" w:eastAsia="Times New Roman" w:hAnsi="Times New Roman" w:cs="Times New Roman"/>
          <w:sz w:val="24"/>
          <w:szCs w:val="24"/>
          <w:vertAlign w:val="superscript"/>
          <w:lang w:val="en-GB" w:eastAsia="en-GB"/>
        </w:rPr>
        <w:footnoteReference w:id="50"/>
      </w:r>
      <w:r w:rsidRPr="00A46409">
        <w:rPr>
          <w:rFonts w:ascii="Times New Roman" w:eastAsia="Times New Roman" w:hAnsi="Times New Roman" w:cs="Times New Roman"/>
          <w:sz w:val="24"/>
          <w:szCs w:val="24"/>
          <w:lang w:val="en-GB" w:eastAsia="en-GB"/>
        </w:rPr>
        <w:t xml:space="preserve"> However, this seems odd:  killing is not an obvious antithesis to marrying or making a covenant; moreover, the text goes on to elaborate the command in terms of smashing idols and driving them out—in a similar vein as Judges. For this reason Christopher Wright argues </w:t>
      </w:r>
      <w:proofErr w:type="spellStart"/>
      <w:r w:rsidRPr="00A46409">
        <w:rPr>
          <w:rFonts w:ascii="Times New Roman" w:eastAsia="Times New Roman" w:hAnsi="Times New Roman" w:cs="Times New Roman"/>
          <w:i/>
          <w:sz w:val="24"/>
          <w:szCs w:val="24"/>
          <w:lang w:val="en-GB" w:eastAsia="en-GB"/>
        </w:rPr>
        <w:t>herem</w:t>
      </w:r>
      <w:proofErr w:type="spellEnd"/>
      <w:r w:rsidRPr="00A46409">
        <w:rPr>
          <w:rFonts w:ascii="Times New Roman" w:eastAsia="Times New Roman" w:hAnsi="Times New Roman" w:cs="Times New Roman"/>
          <w:sz w:val="24"/>
          <w:szCs w:val="24"/>
          <w:lang w:val="en-GB" w:eastAsia="en-GB"/>
        </w:rPr>
        <w:t xml:space="preserve"> should be translated as “renounce” and is a command to shun the idolatrous Canaanites.</w:t>
      </w:r>
      <w:r w:rsidRPr="00A46409">
        <w:rPr>
          <w:rFonts w:ascii="Times New Roman" w:eastAsia="Times New Roman" w:hAnsi="Times New Roman" w:cs="Times New Roman"/>
          <w:sz w:val="24"/>
          <w:szCs w:val="24"/>
          <w:vertAlign w:val="superscript"/>
          <w:lang w:val="en-GB" w:eastAsia="en-GB"/>
        </w:rPr>
        <w:footnoteReference w:id="51"/>
      </w:r>
      <w:r w:rsidRPr="00A46409">
        <w:rPr>
          <w:rFonts w:ascii="Times New Roman" w:eastAsia="Times New Roman" w:hAnsi="Times New Roman" w:cs="Times New Roman"/>
          <w:sz w:val="24"/>
          <w:szCs w:val="24"/>
          <w:lang w:val="en-GB" w:eastAsia="en-GB"/>
        </w:rPr>
        <w:t xml:space="preserve"> This reading clashes with the parallel verse in </w:t>
      </w:r>
      <w:r w:rsidRPr="007F5029">
        <w:rPr>
          <w:rFonts w:ascii="Times New Roman" w:eastAsia="Times New Roman" w:hAnsi="Times New Roman" w:cs="Times New Roman"/>
          <w:sz w:val="24"/>
          <w:szCs w:val="24"/>
          <w:lang w:val="en-GB" w:eastAsia="ja-JP"/>
        </w:rPr>
        <w:t>Deuteronomy 20:17, where “</w:t>
      </w:r>
      <w:proofErr w:type="spellStart"/>
      <w:r w:rsidRPr="007F5029">
        <w:rPr>
          <w:rFonts w:ascii="Times New Roman" w:eastAsia="Times New Roman" w:hAnsi="Times New Roman" w:cs="Times New Roman"/>
          <w:i/>
          <w:sz w:val="24"/>
          <w:szCs w:val="24"/>
          <w:lang w:val="en-GB" w:eastAsia="ja-JP"/>
        </w:rPr>
        <w:t>herem</w:t>
      </w:r>
      <w:proofErr w:type="spellEnd"/>
      <w:r w:rsidRPr="007F5029">
        <w:rPr>
          <w:rFonts w:ascii="Times New Roman" w:eastAsia="Times New Roman" w:hAnsi="Times New Roman" w:cs="Times New Roman"/>
          <w:sz w:val="24"/>
          <w:szCs w:val="24"/>
          <w:lang w:val="en-GB" w:eastAsia="ja-JP"/>
        </w:rPr>
        <w:t xml:space="preserve"> is used epexegetically to verse 16, ‘you shall not leave alive anything that breathes.’”</w:t>
      </w:r>
      <w:r w:rsidRPr="00A46409">
        <w:rPr>
          <w:rFonts w:ascii="Times New Roman" w:eastAsia="Times New Roman" w:hAnsi="Times New Roman" w:cs="Times New Roman"/>
          <w:position w:val="6"/>
          <w:sz w:val="24"/>
          <w:szCs w:val="24"/>
          <w:vertAlign w:val="superscript"/>
          <w:lang w:val="en-GB" w:eastAsia="ja-JP"/>
        </w:rPr>
        <w:footnoteReference w:id="52"/>
      </w:r>
      <w:r w:rsidRPr="007F5029">
        <w:rPr>
          <w:rFonts w:ascii="Times New Roman" w:eastAsia="Times New Roman" w:hAnsi="Times New Roman" w:cs="Times New Roman"/>
          <w:sz w:val="24"/>
          <w:szCs w:val="24"/>
          <w:lang w:val="en-GB" w:eastAsia="ja-JP"/>
        </w:rPr>
        <w:t xml:space="preserve"> However, taking the word as “destroy” and understanding it hyperbolically makes sense of this.</w:t>
      </w:r>
      <w:r w:rsidRPr="00A46409">
        <w:rPr>
          <w:rFonts w:ascii="Times New Roman" w:eastAsia="Times New Roman" w:hAnsi="Times New Roman" w:cs="Times New Roman"/>
          <w:sz w:val="24"/>
          <w:szCs w:val="24"/>
          <w:vertAlign w:val="superscript"/>
          <w:lang w:val="en-GB" w:eastAsia="ja-JP"/>
        </w:rPr>
        <w:footnoteReference w:id="53"/>
      </w:r>
    </w:p>
    <w:p w:rsidR="001A6C34" w:rsidRPr="007F5029" w:rsidRDefault="001A6C34" w:rsidP="001A6C34">
      <w:pPr>
        <w:tabs>
          <w:tab w:val="left" w:pos="540"/>
        </w:tabs>
        <w:spacing w:after="0" w:line="36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ab/>
      </w:r>
      <w:r w:rsidRPr="00A46409">
        <w:rPr>
          <w:rFonts w:ascii="Times New Roman" w:eastAsia="Times New Roman" w:hAnsi="Times New Roman" w:cs="Times New Roman"/>
          <w:sz w:val="24"/>
          <w:szCs w:val="24"/>
          <w:lang w:val="en-GB" w:eastAsia="en-GB"/>
        </w:rPr>
        <w:t xml:space="preserve">(3) The hyperbolic reading addresses another apparent contradiction in the text noted by many readers of the Pentateuch. </w:t>
      </w:r>
      <w:r w:rsidRPr="007F5029">
        <w:rPr>
          <w:rFonts w:ascii="Times New Roman" w:eastAsia="Times New Roman" w:hAnsi="Times New Roman" w:cs="Times New Roman"/>
          <w:sz w:val="24"/>
          <w:szCs w:val="24"/>
          <w:lang w:val="en-GB" w:eastAsia="en-GB"/>
        </w:rPr>
        <w:t>While Deuteronomy 7:2 and 20:16-17 command Israel to “</w:t>
      </w:r>
      <w:r w:rsidRPr="00A46409">
        <w:rPr>
          <w:rFonts w:ascii="Times New Roman" w:eastAsia="Times New Roman" w:hAnsi="Times New Roman" w:cs="Times New Roman"/>
          <w:sz w:val="24"/>
          <w:szCs w:val="24"/>
          <w:lang w:val="en-GB" w:eastAsia="en-GB"/>
        </w:rPr>
        <w:t>utterly destroy</w:t>
      </w:r>
      <w:r w:rsidRPr="007F5029">
        <w:rPr>
          <w:rFonts w:ascii="Times New Roman" w:eastAsia="Times New Roman" w:hAnsi="Times New Roman" w:cs="Times New Roman"/>
          <w:sz w:val="24"/>
          <w:szCs w:val="24"/>
          <w:lang w:val="en-GB" w:eastAsia="en-GB"/>
        </w:rPr>
        <w:t>” the Canaanites and to “not leave alive anything that breathes,” numerous other texts claim the Canaanites are to be “driven out,” “dispossessed,” “thrust out,” and so on.  In fact, often the “drive out” language is juxtaposed with the language of “destroy.” Taken literally, these pictures are inconsistent.  If I stated that I had driven an intruder from my house one would not assume the intruder was dead in my lounge.  Similarly, if I said I had killed an intruder, one would not normally think this meant the intruder had fled. The Hebrew confirms this; the language of driving out and casting out is used elsewhere to refer to Adam and Eve being driven from Eden (Gen 3:24), Cain being driven into the wilderness (Gen. 4:14), and David being driven out by Saul (1 Sam. 26:19). All are cases where the meaning precludes</w:t>
      </w:r>
      <w:r w:rsidRPr="007F5029">
        <w:rPr>
          <w:rFonts w:ascii="Times New Roman" w:eastAsia="Times New Roman" w:hAnsi="Times New Roman" w:cs="Times New Roman"/>
          <w:color w:val="000000"/>
          <w:sz w:val="24"/>
          <w:szCs w:val="24"/>
          <w:lang w:val="en-GB" w:eastAsia="en-GB"/>
        </w:rPr>
        <w:t xml:space="preserve"> something </w:t>
      </w:r>
      <w:r w:rsidRPr="007F5029">
        <w:rPr>
          <w:rFonts w:ascii="Times New Roman" w:eastAsia="Times New Roman" w:hAnsi="Times New Roman" w:cs="Times New Roman"/>
          <w:sz w:val="24"/>
          <w:szCs w:val="24"/>
          <w:lang w:val="en-GB" w:eastAsia="en-GB"/>
        </w:rPr>
        <w:t>being literally destroyed.</w:t>
      </w:r>
      <w:r w:rsidRPr="00A46409">
        <w:rPr>
          <w:rFonts w:ascii="Times New Roman" w:eastAsia="Times New Roman" w:hAnsi="Times New Roman" w:cs="Times New Roman"/>
          <w:sz w:val="24"/>
          <w:szCs w:val="24"/>
          <w:vertAlign w:val="superscript"/>
          <w:lang w:val="en-GB" w:eastAsia="en-GB"/>
        </w:rPr>
        <w:footnoteReference w:id="54"/>
      </w:r>
      <w:r w:rsidRPr="007F5029">
        <w:rPr>
          <w:rFonts w:ascii="Times New Roman" w:eastAsia="Times New Roman" w:hAnsi="Times New Roman" w:cs="Times New Roman"/>
          <w:sz w:val="24"/>
          <w:szCs w:val="24"/>
          <w:lang w:val="en-GB" w:eastAsia="en-GB"/>
        </w:rPr>
        <w:t xml:space="preserve">  Moreover, when the “drive out” language is used of Canaan it often is used in a context where it does not literally mean destroyed but </w:t>
      </w:r>
      <w:r w:rsidRPr="007F5029">
        <w:rPr>
          <w:rFonts w:ascii="Times New Roman" w:eastAsia="Times New Roman" w:hAnsi="Times New Roman" w:cs="Times New Roman"/>
          <w:color w:val="000000"/>
          <w:sz w:val="24"/>
          <w:szCs w:val="24"/>
          <w:lang w:val="en-GB" w:eastAsia="en-GB"/>
        </w:rPr>
        <w:t>rather,</w:t>
      </w:r>
      <w:r w:rsidRPr="007F5029">
        <w:rPr>
          <w:rFonts w:ascii="Times New Roman" w:eastAsia="Times New Roman" w:hAnsi="Times New Roman" w:cs="Times New Roman"/>
          <w:sz w:val="24"/>
          <w:szCs w:val="24"/>
          <w:lang w:val="en-GB" w:eastAsia="en-GB"/>
        </w:rPr>
        <w:t xml:space="preserve"> dispossessed.  In Leviticus 18:26-28, </w:t>
      </w:r>
      <w:r w:rsidRPr="007F5029">
        <w:rPr>
          <w:rFonts w:ascii="Times New Roman" w:eastAsia="Times New Roman" w:hAnsi="Times New Roman" w:cs="Times New Roman"/>
          <w:i/>
          <w:sz w:val="24"/>
          <w:szCs w:val="24"/>
          <w:lang w:val="en-GB" w:eastAsia="en-GB"/>
        </w:rPr>
        <w:t>in the same way</w:t>
      </w:r>
      <w:r w:rsidRPr="007F5029">
        <w:rPr>
          <w:rFonts w:ascii="Times New Roman" w:eastAsia="Times New Roman" w:hAnsi="Times New Roman" w:cs="Times New Roman"/>
          <w:sz w:val="24"/>
          <w:szCs w:val="24"/>
          <w:lang w:val="en-GB" w:eastAsia="en-GB"/>
        </w:rPr>
        <w:t xml:space="preserve"> the Canaanites would be driven out, so Israel would be for violating the covenant.</w:t>
      </w:r>
      <w:r w:rsidRPr="00A46409">
        <w:rPr>
          <w:rFonts w:ascii="Times New Roman" w:eastAsia="Times New Roman" w:hAnsi="Times New Roman" w:cs="Times New Roman"/>
          <w:sz w:val="24"/>
          <w:szCs w:val="24"/>
          <w:vertAlign w:val="superscript"/>
          <w:lang w:val="en-GB" w:eastAsia="en-GB"/>
        </w:rPr>
        <w:t xml:space="preserve"> </w:t>
      </w:r>
      <w:r w:rsidRPr="00A46409">
        <w:rPr>
          <w:rFonts w:ascii="Times New Roman" w:eastAsia="Times New Roman" w:hAnsi="Times New Roman" w:cs="Times New Roman"/>
          <w:sz w:val="24"/>
          <w:szCs w:val="24"/>
          <w:vertAlign w:val="superscript"/>
          <w:lang w:val="en-GB" w:eastAsia="en-GB"/>
        </w:rPr>
        <w:footnoteReference w:id="55"/>
      </w:r>
      <w:r w:rsidRPr="007F5029">
        <w:rPr>
          <w:rFonts w:ascii="Times New Roman" w:eastAsia="Times New Roman" w:hAnsi="Times New Roman" w:cs="Times New Roman"/>
          <w:sz w:val="24"/>
          <w:szCs w:val="24"/>
          <w:lang w:val="en-GB" w:eastAsia="en-GB"/>
        </w:rPr>
        <w:t xml:space="preserve">  This ultimately happened during the Babylonian exile—which was obviously not an</w:t>
      </w:r>
      <w:r>
        <w:rPr>
          <w:rFonts w:ascii="Times New Roman" w:eastAsia="Times New Roman" w:hAnsi="Times New Roman" w:cs="Times New Roman"/>
          <w:sz w:val="24"/>
          <w:szCs w:val="24"/>
          <w:lang w:val="en-GB" w:eastAsia="en-GB"/>
        </w:rPr>
        <w:t xml:space="preserve"> annihilation of ethnic Jews.  </w:t>
      </w:r>
      <w:r w:rsidRPr="007F5029">
        <w:rPr>
          <w:rFonts w:ascii="Times New Roman" w:eastAsia="Times New Roman" w:hAnsi="Times New Roman" w:cs="Times New Roman"/>
          <w:sz w:val="24"/>
          <w:szCs w:val="24"/>
          <w:lang w:val="en-GB" w:eastAsia="en-GB"/>
        </w:rPr>
        <w:t>Furthermore, the language of destroying whole nations i</w:t>
      </w:r>
      <w:r>
        <w:rPr>
          <w:rFonts w:ascii="Times New Roman" w:eastAsia="Times New Roman" w:hAnsi="Times New Roman" w:cs="Times New Roman"/>
          <w:sz w:val="24"/>
          <w:szCs w:val="24"/>
          <w:lang w:val="en-GB" w:eastAsia="en-GB"/>
        </w:rPr>
        <w:t xml:space="preserve">n several places in Deuteronomy </w:t>
      </w:r>
      <w:r w:rsidRPr="007F5029">
        <w:rPr>
          <w:rFonts w:ascii="Times New Roman" w:eastAsia="Times New Roman" w:hAnsi="Times New Roman" w:cs="Times New Roman"/>
          <w:sz w:val="24"/>
          <w:szCs w:val="24"/>
          <w:lang w:val="en-GB" w:eastAsia="en-GB"/>
        </w:rPr>
        <w:t xml:space="preserve">is used in a rhetorical or hyperbolic sense, alongside references to </w:t>
      </w:r>
      <w:r w:rsidRPr="007F5029">
        <w:rPr>
          <w:rFonts w:ascii="Times New Roman" w:eastAsia="Times New Roman" w:hAnsi="Times New Roman" w:cs="Times New Roman"/>
          <w:sz w:val="24"/>
          <w:szCs w:val="24"/>
          <w:lang w:val="en-GB" w:eastAsia="en-GB"/>
        </w:rPr>
        <w:lastRenderedPageBreak/>
        <w:t xml:space="preserve">“driving </w:t>
      </w:r>
      <w:r w:rsidRPr="007F5029">
        <w:rPr>
          <w:rFonts w:ascii="Times New Roman" w:eastAsia="Times New Roman" w:hAnsi="Times New Roman" w:cs="Times New Roman"/>
          <w:color w:val="000000"/>
          <w:sz w:val="24"/>
          <w:szCs w:val="24"/>
          <w:lang w:val="en-GB" w:eastAsia="en-GB"/>
        </w:rPr>
        <w:t>out</w:t>
      </w:r>
      <w:r w:rsidRPr="007F5029">
        <w:rPr>
          <w:rFonts w:ascii="Times New Roman" w:eastAsia="Times New Roman" w:hAnsi="Times New Roman" w:cs="Times New Roman"/>
          <w:sz w:val="24"/>
          <w:szCs w:val="24"/>
          <w:lang w:val="en-GB" w:eastAsia="en-GB"/>
        </w:rPr>
        <w:t xml:space="preserve">” the nation in question or dispossessing them; it does not mean exterminating them.  Hence, </w:t>
      </w: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suggestion has ample precedent from within the text itself.</w:t>
      </w:r>
      <w:r w:rsidRPr="00A46409">
        <w:rPr>
          <w:rFonts w:ascii="Times New Roman" w:eastAsia="Times New Roman" w:hAnsi="Times New Roman" w:cs="Times New Roman"/>
          <w:sz w:val="24"/>
          <w:szCs w:val="24"/>
          <w:vertAlign w:val="superscript"/>
          <w:lang w:val="en-GB" w:eastAsia="en-GB"/>
        </w:rPr>
        <w:footnoteReference w:id="56"/>
      </w:r>
    </w:p>
    <w:p w:rsidR="001A6C34" w:rsidRPr="007F5029" w:rsidRDefault="001A6C34" w:rsidP="001A6C34">
      <w:pPr>
        <w:tabs>
          <w:tab w:val="left" w:pos="540"/>
        </w:tabs>
        <w:spacing w:after="0" w:line="240" w:lineRule="auto"/>
        <w:ind w:left="540"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A second implication of </w:t>
      </w:r>
      <w:proofErr w:type="spellStart"/>
      <w:r w:rsidRPr="007F5029">
        <w:rPr>
          <w:rFonts w:ascii="Times New Roman" w:eastAsia="Times New Roman" w:hAnsi="Times New Roman" w:cs="Times New Roman"/>
          <w:sz w:val="24"/>
          <w:szCs w:val="24"/>
          <w:lang w:val="en-GB" w:eastAsia="en-GB"/>
        </w:rPr>
        <w:t>Wolterstorff’s</w:t>
      </w:r>
      <w:proofErr w:type="spellEnd"/>
      <w:r w:rsidRPr="007F5029">
        <w:rPr>
          <w:rFonts w:ascii="Times New Roman" w:eastAsia="Times New Roman" w:hAnsi="Times New Roman" w:cs="Times New Roman"/>
          <w:sz w:val="24"/>
          <w:szCs w:val="24"/>
          <w:lang w:val="en-GB" w:eastAsia="en-GB"/>
        </w:rPr>
        <w:t xml:space="preserve"> position is that Joshua does not assert that Israel engaged in divinely-authorized genocide:</w:t>
      </w:r>
    </w:p>
    <w:p w:rsidR="001A6C34" w:rsidRPr="007F5029" w:rsidRDefault="001A6C34" w:rsidP="001A6C34">
      <w:pPr>
        <w:tabs>
          <w:tab w:val="left" w:pos="540"/>
        </w:tabs>
        <w:spacing w:after="0" w:line="240" w:lineRule="auto"/>
        <w:ind w:left="720" w:right="-57"/>
        <w:rPr>
          <w:rFonts w:ascii="Times New Roman" w:eastAsia="Times New Roman" w:hAnsi="Times New Roman" w:cs="Times New Roman"/>
          <w:sz w:val="24"/>
          <w:szCs w:val="24"/>
          <w:lang w:val="en-GB" w:eastAsia="en-GB"/>
        </w:rPr>
      </w:pPr>
      <w:proofErr w:type="gramStart"/>
      <w:r w:rsidRPr="007F5029">
        <w:rPr>
          <w:rFonts w:ascii="Times New Roman" w:eastAsia="Times New Roman" w:hAnsi="Times New Roman" w:cs="Times New Roman"/>
          <w:sz w:val="24"/>
          <w:szCs w:val="24"/>
          <w:lang w:val="en-GB" w:eastAsia="en-GB"/>
        </w:rPr>
        <w:t>when</w:t>
      </w:r>
      <w:proofErr w:type="gramEnd"/>
      <w:r w:rsidRPr="007F5029">
        <w:rPr>
          <w:rFonts w:ascii="Times New Roman" w:eastAsia="Times New Roman" w:hAnsi="Times New Roman" w:cs="Times New Roman"/>
          <w:sz w:val="24"/>
          <w:szCs w:val="24"/>
          <w:lang w:val="en-GB" w:eastAsia="en-GB"/>
        </w:rPr>
        <w:t xml:space="preserve"> a high-school basketball player says his team slaughtered the other team last night he’s not asserting, literally now, that they slaughter the other team. What is he asserting? Not easy to tell. That they scored a decisive victory?  </w:t>
      </w:r>
      <w:proofErr w:type="gramStart"/>
      <w:r w:rsidRPr="007F5029">
        <w:rPr>
          <w:rFonts w:ascii="Times New Roman" w:eastAsia="Times New Roman" w:hAnsi="Times New Roman" w:cs="Times New Roman"/>
          <w:sz w:val="24"/>
          <w:szCs w:val="24"/>
          <w:lang w:val="en-GB" w:eastAsia="en-GB"/>
        </w:rPr>
        <w:t>Maybe, but suppose they barely eked out a win?</w:t>
      </w:r>
      <w:proofErr w:type="gramEnd"/>
      <w:r w:rsidRPr="007F5029">
        <w:rPr>
          <w:rFonts w:ascii="Times New Roman" w:eastAsia="Times New Roman" w:hAnsi="Times New Roman" w:cs="Times New Roman"/>
          <w:sz w:val="24"/>
          <w:szCs w:val="24"/>
          <w:lang w:val="en-GB" w:eastAsia="en-GB"/>
        </w:rPr>
        <w:t xml:space="preserve">  Was he lying? </w:t>
      </w:r>
      <w:proofErr w:type="gramStart"/>
      <w:r w:rsidRPr="007F5029">
        <w:rPr>
          <w:rFonts w:ascii="Times New Roman" w:eastAsia="Times New Roman" w:hAnsi="Times New Roman" w:cs="Times New Roman"/>
          <w:sz w:val="24"/>
          <w:szCs w:val="24"/>
          <w:lang w:val="en-GB" w:eastAsia="en-GB"/>
        </w:rPr>
        <w:t>Maybe not.</w:t>
      </w:r>
      <w:proofErr w:type="gramEnd"/>
      <w:r w:rsidRPr="007F5029">
        <w:rPr>
          <w:rFonts w:ascii="Times New Roman" w:eastAsia="Times New Roman" w:hAnsi="Times New Roman" w:cs="Times New Roman"/>
          <w:sz w:val="24"/>
          <w:szCs w:val="24"/>
          <w:lang w:val="en-GB" w:eastAsia="en-GB"/>
        </w:rPr>
        <w:t xml:space="preserve">  Maybe he was speaking with a wink of the eye hyperbole. High school kids do.</w:t>
      </w:r>
      <w:r w:rsidRPr="00A46409">
        <w:rPr>
          <w:rFonts w:ascii="Times New Roman" w:eastAsia="Times New Roman" w:hAnsi="Times New Roman" w:cs="Times New Roman"/>
          <w:sz w:val="24"/>
          <w:szCs w:val="24"/>
          <w:vertAlign w:val="superscript"/>
          <w:lang w:val="en-GB" w:eastAsia="en-GB"/>
        </w:rPr>
        <w:footnoteReference w:id="57"/>
      </w:r>
    </w:p>
    <w:p w:rsidR="001A6C34" w:rsidRPr="007F5029" w:rsidRDefault="001A6C34" w:rsidP="001A6C34">
      <w:pPr>
        <w:tabs>
          <w:tab w:val="left" w:pos="540"/>
        </w:tabs>
        <w:spacing w:after="0" w:line="360" w:lineRule="auto"/>
        <w:ind w:right="-57"/>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spacing w:after="0" w:line="360" w:lineRule="auto"/>
        <w:ind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In the same way, when one realizes that Joshua is hagiographic and highly hyperbolic in its narration of what occurred, the best one can conclude from the accounts of killing everyone that breathed is this:</w:t>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Israel scored a decisive victory and once you recognize the presence of hyperbole it is not even clear how decisive the victories were. Joshua did not conquer all the cities in the land nor did he slaughter all the inhabitants in the cities he did conquer. The book of Joshua does not say that he did.</w:t>
      </w:r>
      <w:r w:rsidRPr="00A46409">
        <w:rPr>
          <w:rFonts w:ascii="Times New Roman" w:eastAsia="Times New Roman" w:hAnsi="Times New Roman" w:cs="Times New Roman"/>
          <w:sz w:val="24"/>
          <w:szCs w:val="24"/>
          <w:vertAlign w:val="superscript"/>
          <w:lang w:val="en-GB" w:eastAsia="en-GB"/>
        </w:rPr>
        <w:footnoteReference w:id="58"/>
      </w:r>
    </w:p>
    <w:p w:rsidR="001A6C34" w:rsidRPr="007F5029" w:rsidRDefault="001A6C34" w:rsidP="001A6C34">
      <w:pPr>
        <w:tabs>
          <w:tab w:val="left" w:pos="540"/>
        </w:tabs>
        <w:spacing w:after="0" w:line="240" w:lineRule="auto"/>
        <w:ind w:left="720" w:right="-58"/>
        <w:rPr>
          <w:rFonts w:ascii="Times New Roman" w:eastAsia="Times New Roman" w:hAnsi="Times New Roman" w:cs="Times New Roman"/>
          <w:sz w:val="24"/>
          <w:szCs w:val="24"/>
          <w:lang w:val="en-GB" w:eastAsia="en-GB"/>
        </w:rPr>
      </w:pPr>
    </w:p>
    <w:p w:rsidR="001A6C34" w:rsidRPr="007F502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ja-JP"/>
        </w:rPr>
      </w:pPr>
      <w:r w:rsidRPr="007F5029">
        <w:rPr>
          <w:rFonts w:ascii="Times New Roman" w:eastAsia="Times New Roman" w:hAnsi="Times New Roman" w:cs="Times New Roman"/>
          <w:sz w:val="24"/>
          <w:szCs w:val="24"/>
          <w:lang w:val="en-GB" w:eastAsia="ja-JP"/>
        </w:rPr>
        <w:t>Canonical factors force the same conclusion. I noted above that in Judges and Exodus the command is expressed in terms of avoiding treaties and driving the Canaanites out. In Joshua and Deuteronomy the command is expressed in the language of “utterly destroying them”. The conclusion we have reached is that the latter is figurative language and the former is literal. If this is the case then the command was to drive them out and it was not to literally exterminate them.</w:t>
      </w:r>
    </w:p>
    <w:p w:rsidR="001A6C34" w:rsidRPr="007F502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ja-JP"/>
        </w:rPr>
      </w:pPr>
    </w:p>
    <w:p w:rsidR="001A6C34" w:rsidRPr="007F5029" w:rsidRDefault="001A6C34" w:rsidP="001A6C34">
      <w:pPr>
        <w:tabs>
          <w:tab w:val="left" w:pos="540"/>
        </w:tabs>
        <w:autoSpaceDE w:val="0"/>
        <w:autoSpaceDN w:val="0"/>
        <w:adjustRightInd w:val="0"/>
        <w:spacing w:after="0" w:line="360" w:lineRule="auto"/>
        <w:ind w:right="-58"/>
        <w:jc w:val="center"/>
        <w:rPr>
          <w:rFonts w:ascii="Times New Roman" w:eastAsia="Times New Roman" w:hAnsi="Times New Roman" w:cs="Times New Roman"/>
          <w:b/>
          <w:sz w:val="24"/>
          <w:szCs w:val="24"/>
          <w:lang w:val="en-GB" w:eastAsia="ja-JP"/>
        </w:rPr>
      </w:pPr>
      <w:r w:rsidRPr="007F5029">
        <w:rPr>
          <w:rFonts w:ascii="Times New Roman" w:eastAsia="Times New Roman" w:hAnsi="Times New Roman" w:cs="Times New Roman"/>
          <w:b/>
          <w:sz w:val="24"/>
          <w:szCs w:val="24"/>
          <w:lang w:val="en-GB" w:eastAsia="ja-JP"/>
        </w:rPr>
        <w:t>Conclusion</w:t>
      </w:r>
    </w:p>
    <w:p w:rsidR="001A6C34" w:rsidRPr="007F502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ja-JP"/>
        </w:rPr>
      </w:pPr>
      <w:r>
        <w:rPr>
          <w:rFonts w:ascii="Times New Roman" w:eastAsia="Times New Roman" w:hAnsi="Times New Roman" w:cs="Times New Roman"/>
          <w:sz w:val="24"/>
          <w:szCs w:val="24"/>
          <w:lang w:val="en-GB" w:eastAsia="ja-JP"/>
        </w:rPr>
        <w:lastRenderedPageBreak/>
        <w:t>I contend that t</w:t>
      </w:r>
      <w:r w:rsidRPr="007F5029">
        <w:rPr>
          <w:rFonts w:ascii="Times New Roman" w:eastAsia="Times New Roman" w:hAnsi="Times New Roman" w:cs="Times New Roman"/>
          <w:sz w:val="24"/>
          <w:szCs w:val="24"/>
          <w:lang w:val="en-GB" w:eastAsia="ja-JP"/>
        </w:rPr>
        <w:t xml:space="preserve">he widely-held </w:t>
      </w:r>
      <w:r>
        <w:rPr>
          <w:rFonts w:ascii="Times New Roman" w:eastAsia="Times New Roman" w:hAnsi="Times New Roman" w:cs="Times New Roman"/>
          <w:sz w:val="24"/>
          <w:szCs w:val="24"/>
          <w:lang w:val="en-GB" w:eastAsia="ja-JP"/>
        </w:rPr>
        <w:t>view</w:t>
      </w:r>
      <w:r w:rsidRPr="007F5029">
        <w:rPr>
          <w:rFonts w:ascii="Times New Roman" w:eastAsia="Times New Roman" w:hAnsi="Times New Roman" w:cs="Times New Roman"/>
          <w:sz w:val="24"/>
          <w:szCs w:val="24"/>
          <w:lang w:val="en-GB" w:eastAsia="ja-JP"/>
        </w:rPr>
        <w:t xml:space="preserve"> that the book of Joshua teaches that God commanded the genocide of the Canaanites</w:t>
      </w:r>
      <w:r>
        <w:rPr>
          <w:rFonts w:ascii="Times New Roman" w:eastAsia="Times New Roman" w:hAnsi="Times New Roman" w:cs="Times New Roman"/>
          <w:sz w:val="24"/>
          <w:szCs w:val="24"/>
          <w:lang w:val="en-GB" w:eastAsia="ja-JP"/>
        </w:rPr>
        <w:t xml:space="preserve"> </w:t>
      </w:r>
      <w:r w:rsidRPr="007F5029">
        <w:rPr>
          <w:rFonts w:ascii="Times New Roman" w:eastAsia="Times New Roman" w:hAnsi="Times New Roman" w:cs="Times New Roman"/>
          <w:sz w:val="24"/>
          <w:szCs w:val="24"/>
          <w:lang w:val="en-GB" w:eastAsia="ja-JP"/>
        </w:rPr>
        <w:t xml:space="preserve">is questionable. Joshua is accepted as part of a canon. Read in this context, taking the account of total annihilation of the Canaanite populations as </w:t>
      </w:r>
      <w:r>
        <w:rPr>
          <w:rFonts w:ascii="Times New Roman" w:eastAsia="Times New Roman" w:hAnsi="Times New Roman" w:cs="Times New Roman"/>
          <w:sz w:val="24"/>
          <w:szCs w:val="24"/>
          <w:lang w:val="en-GB" w:eastAsia="ja-JP"/>
        </w:rPr>
        <w:t xml:space="preserve">a </w:t>
      </w:r>
      <w:r w:rsidRPr="007F5029">
        <w:rPr>
          <w:rFonts w:ascii="Times New Roman" w:eastAsia="Times New Roman" w:hAnsi="Times New Roman" w:cs="Times New Roman"/>
          <w:sz w:val="24"/>
          <w:szCs w:val="24"/>
          <w:lang w:val="en-GB" w:eastAsia="ja-JP"/>
        </w:rPr>
        <w:t xml:space="preserve">literal </w:t>
      </w:r>
      <w:r>
        <w:rPr>
          <w:rFonts w:ascii="Times New Roman" w:eastAsia="Times New Roman" w:hAnsi="Times New Roman" w:cs="Times New Roman"/>
          <w:sz w:val="24"/>
          <w:szCs w:val="24"/>
          <w:lang w:val="en-GB" w:eastAsia="ja-JP"/>
        </w:rPr>
        <w:t xml:space="preserve">description of what occurred </w:t>
      </w:r>
      <w:r w:rsidRPr="007F5029">
        <w:rPr>
          <w:rFonts w:ascii="Times New Roman" w:eastAsia="Times New Roman" w:hAnsi="Times New Roman" w:cs="Times New Roman"/>
          <w:sz w:val="24"/>
          <w:szCs w:val="24"/>
          <w:lang w:val="en-GB" w:eastAsia="ja-JP"/>
        </w:rPr>
        <w:t xml:space="preserve">contradicts what is affirmed to have literally occurred in Judges. Moreover, it </w:t>
      </w:r>
      <w:r>
        <w:rPr>
          <w:rFonts w:ascii="Times New Roman" w:eastAsia="Times New Roman" w:hAnsi="Times New Roman" w:cs="Times New Roman"/>
          <w:sz w:val="24"/>
          <w:szCs w:val="24"/>
          <w:lang w:val="en-GB" w:eastAsia="ja-JP"/>
        </w:rPr>
        <w:t>conflicts with</w:t>
      </w:r>
      <w:r w:rsidRPr="007F5029">
        <w:rPr>
          <w:rFonts w:ascii="Times New Roman" w:eastAsia="Times New Roman" w:hAnsi="Times New Roman" w:cs="Times New Roman"/>
          <w:sz w:val="24"/>
          <w:szCs w:val="24"/>
          <w:lang w:val="en-GB" w:eastAsia="ja-JP"/>
        </w:rPr>
        <w:t xml:space="preserve"> how the command is described elsewhere in Judges and Exodus. The </w:t>
      </w:r>
      <w:r>
        <w:rPr>
          <w:rFonts w:ascii="Times New Roman" w:eastAsia="Times New Roman" w:hAnsi="Times New Roman" w:cs="Times New Roman"/>
          <w:sz w:val="24"/>
          <w:szCs w:val="24"/>
          <w:lang w:val="en-GB" w:eastAsia="ja-JP"/>
        </w:rPr>
        <w:t>writers</w:t>
      </w:r>
      <w:r w:rsidRPr="007F5029">
        <w:rPr>
          <w:rFonts w:ascii="Times New Roman" w:eastAsia="Times New Roman" w:hAnsi="Times New Roman" w:cs="Times New Roman"/>
          <w:sz w:val="24"/>
          <w:szCs w:val="24"/>
          <w:lang w:val="en-GB" w:eastAsia="ja-JP"/>
        </w:rPr>
        <w:t xml:space="preserve"> would have known this and, not being mindless, could not have meant both accounts to be taken literally. This means one must be non-literal. The literary conventions Joshua uses are highly stylised, figurative and contain hyperbolic, hagiographic accounts of what occurred. The conventions in Judges are less so. Consequently, the so-called genocide in Joshua and the command to “utterly destroy [the Canaanites]” should not be taken literally.</w:t>
      </w:r>
    </w:p>
    <w:p w:rsidR="001A6C34" w:rsidRPr="007F5029" w:rsidRDefault="001A6C34" w:rsidP="001A6C34">
      <w:pPr>
        <w:tabs>
          <w:tab w:val="left" w:pos="540"/>
        </w:tabs>
        <w:autoSpaceDE w:val="0"/>
        <w:autoSpaceDN w:val="0"/>
        <w:adjustRightInd w:val="0"/>
        <w:spacing w:after="0" w:line="360" w:lineRule="auto"/>
        <w:ind w:right="-58"/>
        <w:rPr>
          <w:rFonts w:ascii="Times New Roman" w:eastAsia="Times New Roman" w:hAnsi="Times New Roman" w:cs="Times New Roman"/>
          <w:sz w:val="24"/>
          <w:szCs w:val="24"/>
          <w:lang w:val="en-GB" w:eastAsia="ja-JP"/>
        </w:rPr>
      </w:pPr>
    </w:p>
    <w:p w:rsidR="001A6C34" w:rsidRPr="007F5029" w:rsidRDefault="001A6C34" w:rsidP="001A6C34">
      <w:pPr>
        <w:tabs>
          <w:tab w:val="left" w:pos="540"/>
        </w:tabs>
        <w:autoSpaceDE w:val="0"/>
        <w:autoSpaceDN w:val="0"/>
        <w:adjustRightInd w:val="0"/>
        <w:spacing w:after="0" w:line="360" w:lineRule="auto"/>
        <w:ind w:right="-58"/>
        <w:jc w:val="center"/>
        <w:rPr>
          <w:rFonts w:ascii="Times New Roman" w:eastAsia="Times New Roman" w:hAnsi="Times New Roman" w:cs="Times New Roman"/>
          <w:b/>
          <w:bCs/>
          <w:sz w:val="24"/>
          <w:szCs w:val="24"/>
          <w:lang w:val="en-GB" w:eastAsia="ja-JP"/>
        </w:rPr>
      </w:pPr>
      <w:r w:rsidRPr="007F5029">
        <w:rPr>
          <w:rFonts w:ascii="Times New Roman" w:eastAsia="Times New Roman" w:hAnsi="Times New Roman" w:cs="Times New Roman"/>
          <w:b/>
          <w:bCs/>
          <w:sz w:val="24"/>
          <w:szCs w:val="24"/>
          <w:lang w:val="en-GB" w:eastAsia="ja-JP"/>
        </w:rPr>
        <w:t xml:space="preserve">Appendix:  The Case of the </w:t>
      </w:r>
      <w:proofErr w:type="spellStart"/>
      <w:r w:rsidRPr="007F5029">
        <w:rPr>
          <w:rFonts w:ascii="Times New Roman" w:eastAsia="Times New Roman" w:hAnsi="Times New Roman" w:cs="Times New Roman"/>
          <w:b/>
          <w:bCs/>
          <w:sz w:val="24"/>
          <w:szCs w:val="24"/>
          <w:lang w:val="en-GB" w:eastAsia="ja-JP"/>
        </w:rPr>
        <w:t>Midianites</w:t>
      </w:r>
      <w:proofErr w:type="spellEnd"/>
    </w:p>
    <w:p w:rsidR="001A6C34" w:rsidRPr="007F5029" w:rsidRDefault="001A6C34" w:rsidP="001A6C34">
      <w:pPr>
        <w:tabs>
          <w:tab w:val="left" w:pos="540"/>
        </w:tabs>
        <w:spacing w:after="0" w:line="360" w:lineRule="auto"/>
        <w:rPr>
          <w:rFonts w:ascii="Times New Roman" w:eastAsia="Times New Roman" w:hAnsi="Times New Roman" w:cs="Times New Roman"/>
          <w:sz w:val="24"/>
          <w:szCs w:val="24"/>
          <w:lang w:val="en-GB" w:eastAsia="en-GB"/>
        </w:rPr>
      </w:pPr>
      <w:proofErr w:type="spellStart"/>
      <w:r w:rsidRPr="007F5029">
        <w:rPr>
          <w:rFonts w:ascii="Times New Roman" w:eastAsia="Times New Roman" w:hAnsi="Times New Roman" w:cs="Times New Roman"/>
          <w:bCs/>
          <w:sz w:val="24"/>
          <w:szCs w:val="24"/>
          <w:lang w:val="en-GB" w:eastAsia="en-GB"/>
        </w:rPr>
        <w:t>Wolterstorff’s</w:t>
      </w:r>
      <w:proofErr w:type="spellEnd"/>
      <w:r w:rsidRPr="007F5029">
        <w:rPr>
          <w:rFonts w:ascii="Times New Roman" w:eastAsia="Times New Roman" w:hAnsi="Times New Roman" w:cs="Times New Roman"/>
          <w:bCs/>
          <w:sz w:val="24"/>
          <w:szCs w:val="24"/>
          <w:lang w:val="en-GB" w:eastAsia="en-GB"/>
        </w:rPr>
        <w:t xml:space="preserve"> approach may also shed light on some other troubling texts such as </w:t>
      </w:r>
      <w:r w:rsidRPr="007F5029">
        <w:rPr>
          <w:rFonts w:ascii="Times New Roman" w:eastAsia="Times New Roman" w:hAnsi="Times New Roman" w:cs="Times New Roman"/>
          <w:sz w:val="24"/>
          <w:szCs w:val="24"/>
          <w:lang w:val="en-GB" w:eastAsia="en-GB"/>
        </w:rPr>
        <w:t xml:space="preserve">the apparent genocide </w:t>
      </w:r>
      <w:r w:rsidRPr="007F5029">
        <w:rPr>
          <w:rFonts w:ascii="Times New Roman" w:eastAsia="Times New Roman" w:hAnsi="Times New Roman" w:cs="Times New Roman"/>
          <w:color w:val="000000"/>
          <w:sz w:val="24"/>
          <w:szCs w:val="24"/>
          <w:lang w:val="en-GB" w:eastAsia="en-GB"/>
        </w:rPr>
        <w:t xml:space="preserve">of the </w:t>
      </w:r>
      <w:proofErr w:type="spellStart"/>
      <w:r w:rsidRPr="007F5029">
        <w:rPr>
          <w:rFonts w:ascii="Times New Roman" w:eastAsia="Times New Roman" w:hAnsi="Times New Roman" w:cs="Times New Roman"/>
          <w:color w:val="000000"/>
          <w:sz w:val="24"/>
          <w:szCs w:val="24"/>
          <w:lang w:val="en-GB" w:eastAsia="en-GB"/>
        </w:rPr>
        <w:t>Midianites</w:t>
      </w:r>
      <w:proofErr w:type="spellEnd"/>
      <w:r w:rsidRPr="007F5029">
        <w:rPr>
          <w:rFonts w:ascii="Times New Roman" w:eastAsia="Times New Roman" w:hAnsi="Times New Roman" w:cs="Times New Roman"/>
          <w:color w:val="000000"/>
          <w:sz w:val="24"/>
          <w:szCs w:val="24"/>
          <w:lang w:val="en-GB" w:eastAsia="en-GB"/>
        </w:rPr>
        <w:t xml:space="preserve"> in Numbers 31. </w:t>
      </w:r>
      <w:r w:rsidRPr="007F5029">
        <w:rPr>
          <w:rFonts w:ascii="Times New Roman" w:eastAsia="Times New Roman" w:hAnsi="Times New Roman" w:cs="Times New Roman"/>
          <w:bCs/>
          <w:sz w:val="24"/>
          <w:szCs w:val="24"/>
          <w:lang w:val="en-GB" w:eastAsia="en-GB"/>
        </w:rPr>
        <w:t>After the Israelites “</w:t>
      </w:r>
      <w:r w:rsidRPr="007F5029">
        <w:rPr>
          <w:rFonts w:ascii="Times New Roman" w:eastAsia="Times New Roman" w:hAnsi="Times New Roman" w:cs="Times New Roman"/>
          <w:color w:val="000000"/>
          <w:sz w:val="24"/>
          <w:szCs w:val="24"/>
          <w:lang w:val="en-GB" w:eastAsia="en-GB"/>
        </w:rPr>
        <w:t xml:space="preserve">fought against </w:t>
      </w:r>
      <w:proofErr w:type="spellStart"/>
      <w:r w:rsidRPr="007F5029">
        <w:rPr>
          <w:rFonts w:ascii="Times New Roman" w:eastAsia="Times New Roman" w:hAnsi="Times New Roman" w:cs="Times New Roman"/>
          <w:color w:val="000000"/>
          <w:sz w:val="24"/>
          <w:szCs w:val="24"/>
          <w:lang w:val="en-GB" w:eastAsia="en-GB"/>
        </w:rPr>
        <w:t>Midian</w:t>
      </w:r>
      <w:proofErr w:type="spellEnd"/>
      <w:r w:rsidRPr="007F5029">
        <w:rPr>
          <w:rFonts w:ascii="Times New Roman" w:eastAsia="Times New Roman" w:hAnsi="Times New Roman" w:cs="Times New Roman"/>
          <w:color w:val="000000"/>
          <w:sz w:val="24"/>
          <w:szCs w:val="24"/>
          <w:lang w:val="en-GB" w:eastAsia="en-GB"/>
        </w:rPr>
        <w:t xml:space="preserve">, as the </w:t>
      </w:r>
      <w:r w:rsidRPr="007F5029">
        <w:rPr>
          <w:rFonts w:ascii="Times New Roman" w:eastAsia="Times New Roman" w:hAnsi="Times New Roman" w:cs="Times New Roman"/>
          <w:smallCaps/>
          <w:color w:val="000000"/>
          <w:sz w:val="24"/>
          <w:szCs w:val="24"/>
          <w:lang w:val="en-GB" w:eastAsia="en-GB"/>
        </w:rPr>
        <w:t>Lord</w:t>
      </w:r>
      <w:r w:rsidRPr="007F5029">
        <w:rPr>
          <w:rFonts w:ascii="Times New Roman" w:eastAsia="Times New Roman" w:hAnsi="Times New Roman" w:cs="Times New Roman"/>
          <w:color w:val="000000"/>
          <w:sz w:val="24"/>
          <w:szCs w:val="24"/>
          <w:lang w:val="en-GB" w:eastAsia="en-GB"/>
        </w:rPr>
        <w:t xml:space="preserve"> commanded Moses, and killed every man” (v. 7),</w:t>
      </w:r>
      <w:r w:rsidRPr="007F5029">
        <w:rPr>
          <w:rFonts w:ascii="Times New Roman" w:eastAsia="Times New Roman" w:hAnsi="Times New Roman" w:cs="Times New Roman"/>
          <w:bCs/>
          <w:sz w:val="24"/>
          <w:szCs w:val="24"/>
          <w:lang w:val="en-GB" w:eastAsia="en-GB"/>
        </w:rPr>
        <w:t xml:space="preserve"> Moses commanded them to “</w:t>
      </w:r>
      <w:r w:rsidRPr="007F5029">
        <w:rPr>
          <w:rFonts w:ascii="Times New Roman" w:eastAsia="Times New Roman" w:hAnsi="Times New Roman" w:cs="Times New Roman"/>
          <w:color w:val="000000"/>
          <w:sz w:val="24"/>
          <w:szCs w:val="24"/>
          <w:lang w:val="en-GB" w:eastAsia="en-GB"/>
        </w:rPr>
        <w:t xml:space="preserve">kill all the boys. And kill every woman who has slept with a man but save for yourselves every girl who has never slept with a man” (vv. 17-18).  </w:t>
      </w:r>
      <w:r w:rsidRPr="007F5029">
        <w:rPr>
          <w:rFonts w:ascii="Times New Roman" w:eastAsia="Times New Roman" w:hAnsi="Times New Roman" w:cs="Times New Roman"/>
          <w:bCs/>
          <w:sz w:val="24"/>
          <w:szCs w:val="24"/>
          <w:lang w:val="en-GB" w:eastAsia="en-GB"/>
        </w:rPr>
        <w:t xml:space="preserve">Taken in isolation, this text affirms that every </w:t>
      </w:r>
      <w:proofErr w:type="spellStart"/>
      <w:r w:rsidRPr="007F5029">
        <w:rPr>
          <w:rFonts w:ascii="Times New Roman" w:eastAsia="Times New Roman" w:hAnsi="Times New Roman" w:cs="Times New Roman"/>
          <w:color w:val="000000"/>
          <w:sz w:val="24"/>
          <w:szCs w:val="24"/>
          <w:lang w:val="en-GB" w:eastAsia="en-GB"/>
        </w:rPr>
        <w:t>Midianite</w:t>
      </w:r>
      <w:proofErr w:type="spellEnd"/>
      <w:r w:rsidRPr="007F5029">
        <w:rPr>
          <w:rFonts w:ascii="Times New Roman" w:eastAsia="Times New Roman" w:hAnsi="Times New Roman" w:cs="Times New Roman"/>
          <w:bCs/>
          <w:sz w:val="24"/>
          <w:szCs w:val="24"/>
          <w:lang w:val="en-GB" w:eastAsia="en-GB"/>
        </w:rPr>
        <w:t xml:space="preserve"> was killed and only female virgins survived so they could be assimilated into the Israelite community. </w:t>
      </w:r>
      <w:r w:rsidRPr="007F5029">
        <w:rPr>
          <w:rFonts w:ascii="Times New Roman" w:eastAsia="Times New Roman" w:hAnsi="Times New Roman" w:cs="Times New Roman"/>
          <w:color w:val="000000"/>
          <w:sz w:val="24"/>
          <w:szCs w:val="24"/>
          <w:lang w:val="en-GB" w:eastAsia="en-GB"/>
        </w:rPr>
        <w:t xml:space="preserve">However, </w:t>
      </w:r>
      <w:r w:rsidRPr="007F5029">
        <w:rPr>
          <w:rFonts w:ascii="Times New Roman" w:eastAsia="Times New Roman" w:hAnsi="Times New Roman" w:cs="Times New Roman"/>
          <w:sz w:val="24"/>
          <w:szCs w:val="24"/>
          <w:lang w:val="en-GB" w:eastAsia="en-GB"/>
        </w:rPr>
        <w:t xml:space="preserve">read in its literary context, as part of as a single narrative—a connected literary unit, similar issues are apparent. </w:t>
      </w:r>
    </w:p>
    <w:p w:rsidR="001A6C34" w:rsidRPr="007F5029" w:rsidRDefault="001A6C34" w:rsidP="001A6C34">
      <w:pPr>
        <w:spacing w:after="0" w:line="360" w:lineRule="auto"/>
        <w:ind w:right="26" w:firstLine="720"/>
        <w:rPr>
          <w:rFonts w:ascii="Times New Roman" w:eastAsia="Times New Roman" w:hAnsi="Times New Roman" w:cs="Times New Roman"/>
          <w:color w:val="000000"/>
          <w:sz w:val="24"/>
          <w:szCs w:val="24"/>
          <w:lang w:val="en-GB" w:eastAsia="en-GB"/>
        </w:rPr>
      </w:pPr>
      <w:r w:rsidRPr="007F5029">
        <w:rPr>
          <w:rFonts w:ascii="Times New Roman" w:eastAsia="Times New Roman" w:hAnsi="Times New Roman" w:cs="Times New Roman"/>
          <w:color w:val="000000"/>
          <w:sz w:val="24"/>
          <w:szCs w:val="24"/>
          <w:lang w:val="en-GB" w:eastAsia="en-GB"/>
        </w:rPr>
        <w:t xml:space="preserve">First, Numbers 31 is one part of a broader context; it is both part of the Pentateuch and also part of a larger canonical sequence. The </w:t>
      </w:r>
      <w:r w:rsidRPr="007F5029">
        <w:rPr>
          <w:rFonts w:ascii="Times New Roman" w:eastAsia="Times New Roman" w:hAnsi="Times New Roman" w:cs="Times New Roman"/>
          <w:sz w:val="24"/>
          <w:szCs w:val="24"/>
          <w:lang w:val="en-GB" w:eastAsia="en-GB"/>
        </w:rPr>
        <w:t xml:space="preserve">Pentateuch contains the Torah or Law. Normally in the Torah when Moses utters a command on God’s behalf the passage begins with “The Lord commanded Moses”; this preface is absent from the commands in Numbers 31. The passages merely state that God commanded them to make war on </w:t>
      </w:r>
      <w:proofErr w:type="spellStart"/>
      <w:r w:rsidRPr="007F5029">
        <w:rPr>
          <w:rFonts w:ascii="Times New Roman" w:eastAsia="Times New Roman" w:hAnsi="Times New Roman" w:cs="Times New Roman"/>
          <w:sz w:val="24"/>
          <w:szCs w:val="24"/>
          <w:lang w:val="en-GB" w:eastAsia="en-GB"/>
        </w:rPr>
        <w:t>Midian</w:t>
      </w:r>
      <w:proofErr w:type="spellEnd"/>
      <w:r w:rsidRPr="007F5029">
        <w:rPr>
          <w:rFonts w:ascii="Times New Roman" w:eastAsia="Times New Roman" w:hAnsi="Times New Roman" w:cs="Times New Roman"/>
          <w:sz w:val="24"/>
          <w:szCs w:val="24"/>
          <w:lang w:val="en-GB" w:eastAsia="en-GB"/>
        </w:rPr>
        <w:t>; verse 7 states, “</w:t>
      </w:r>
      <w:r w:rsidRPr="007F5029">
        <w:rPr>
          <w:rFonts w:ascii="Times New Roman" w:eastAsia="Times New Roman" w:hAnsi="Times New Roman" w:cs="Times New Roman"/>
          <w:color w:val="000000"/>
          <w:sz w:val="24"/>
          <w:szCs w:val="24"/>
          <w:lang w:val="en-GB" w:eastAsia="en-GB"/>
        </w:rPr>
        <w:t xml:space="preserve">They fought against </w:t>
      </w:r>
      <w:proofErr w:type="spellStart"/>
      <w:r w:rsidRPr="007F5029">
        <w:rPr>
          <w:rFonts w:ascii="Times New Roman" w:eastAsia="Times New Roman" w:hAnsi="Times New Roman" w:cs="Times New Roman"/>
          <w:color w:val="000000"/>
          <w:sz w:val="24"/>
          <w:szCs w:val="24"/>
          <w:lang w:val="en-GB" w:eastAsia="en-GB"/>
        </w:rPr>
        <w:t>Midian</w:t>
      </w:r>
      <w:proofErr w:type="spellEnd"/>
      <w:r w:rsidRPr="007F5029">
        <w:rPr>
          <w:rFonts w:ascii="Times New Roman" w:eastAsia="Times New Roman" w:hAnsi="Times New Roman" w:cs="Times New Roman"/>
          <w:color w:val="000000"/>
          <w:sz w:val="24"/>
          <w:szCs w:val="24"/>
          <w:lang w:val="en-GB" w:eastAsia="en-GB"/>
        </w:rPr>
        <w:t xml:space="preserve">, </w:t>
      </w:r>
      <w:r w:rsidRPr="007F5029">
        <w:rPr>
          <w:rFonts w:ascii="Times New Roman" w:eastAsia="Times New Roman" w:hAnsi="Times New Roman" w:cs="Times New Roman"/>
          <w:i/>
          <w:iCs/>
          <w:color w:val="000000"/>
          <w:sz w:val="24"/>
          <w:szCs w:val="24"/>
          <w:lang w:val="en-GB" w:eastAsia="en-GB"/>
        </w:rPr>
        <w:t xml:space="preserve">as the </w:t>
      </w:r>
      <w:r w:rsidRPr="007F5029">
        <w:rPr>
          <w:rFonts w:ascii="Times New Roman" w:eastAsia="Times New Roman" w:hAnsi="Times New Roman" w:cs="Times New Roman"/>
          <w:i/>
          <w:smallCaps/>
          <w:color w:val="000000"/>
          <w:sz w:val="24"/>
          <w:szCs w:val="24"/>
          <w:lang w:val="en-GB" w:eastAsia="en-GB"/>
        </w:rPr>
        <w:t>Lord</w:t>
      </w:r>
      <w:r w:rsidRPr="007F5029">
        <w:rPr>
          <w:rFonts w:ascii="Times New Roman" w:eastAsia="Times New Roman" w:hAnsi="Times New Roman" w:cs="Times New Roman"/>
          <w:color w:val="000000"/>
          <w:sz w:val="24"/>
          <w:szCs w:val="24"/>
          <w:lang w:val="en-GB" w:eastAsia="en-GB"/>
        </w:rPr>
        <w:t xml:space="preserve"> </w:t>
      </w:r>
      <w:r w:rsidRPr="007F5029">
        <w:rPr>
          <w:rFonts w:ascii="Times New Roman" w:eastAsia="Times New Roman" w:hAnsi="Times New Roman" w:cs="Times New Roman"/>
          <w:i/>
          <w:iCs/>
          <w:color w:val="000000"/>
          <w:sz w:val="24"/>
          <w:szCs w:val="24"/>
          <w:lang w:val="en-GB" w:eastAsia="en-GB"/>
        </w:rPr>
        <w:t>commanded Moses</w:t>
      </w:r>
      <w:r w:rsidRPr="007F5029">
        <w:rPr>
          <w:rFonts w:ascii="Times New Roman" w:eastAsia="Times New Roman" w:hAnsi="Times New Roman" w:cs="Times New Roman"/>
          <w:color w:val="000000"/>
          <w:sz w:val="24"/>
          <w:szCs w:val="24"/>
          <w:lang w:val="en-GB" w:eastAsia="en-GB"/>
        </w:rPr>
        <w:t>, and killed every man.” This suggests the Israelites fulfilled this command. Moses’ command to kill women and children occurs after this and appears to be on his own authority.</w:t>
      </w:r>
      <w:r w:rsidRPr="007F5029">
        <w:rPr>
          <w:rFonts w:ascii="Times New Roman" w:eastAsia="Times New Roman" w:hAnsi="Times New Roman" w:cs="Times New Roman"/>
          <w:color w:val="000000"/>
          <w:sz w:val="24"/>
          <w:szCs w:val="24"/>
          <w:vertAlign w:val="superscript"/>
          <w:lang w:val="en-GB" w:eastAsia="en-GB"/>
        </w:rPr>
        <w:footnoteReference w:id="59"/>
      </w:r>
      <w:r w:rsidRPr="007F5029">
        <w:rPr>
          <w:rFonts w:ascii="Times New Roman" w:eastAsia="Times New Roman" w:hAnsi="Times New Roman" w:cs="Times New Roman"/>
          <w:color w:val="000000"/>
          <w:sz w:val="24"/>
          <w:szCs w:val="24"/>
          <w:lang w:val="en-GB" w:eastAsia="en-GB"/>
        </w:rPr>
        <w:t xml:space="preserve">  If one reads the laws of war that are elaborated in the </w:t>
      </w:r>
      <w:r w:rsidRPr="007F5029">
        <w:rPr>
          <w:rFonts w:ascii="Times New Roman" w:eastAsia="Times New Roman" w:hAnsi="Times New Roman" w:cs="Times New Roman"/>
          <w:color w:val="000000"/>
          <w:sz w:val="24"/>
          <w:szCs w:val="24"/>
          <w:lang w:val="en-GB" w:eastAsia="en-GB"/>
        </w:rPr>
        <w:lastRenderedPageBreak/>
        <w:t>book of Deuteronomy, which follows Numbers, God commanded Israel to not kill non-combatants, such as women and children.  He condemns the kind of conduct Moses commands here.</w:t>
      </w:r>
      <w:r w:rsidRPr="007F5029">
        <w:rPr>
          <w:rFonts w:ascii="Times New Roman" w:eastAsia="Times New Roman" w:hAnsi="Times New Roman" w:cs="Times New Roman"/>
          <w:color w:val="000000"/>
          <w:sz w:val="24"/>
          <w:szCs w:val="24"/>
          <w:vertAlign w:val="superscript"/>
          <w:lang w:val="en-GB" w:eastAsia="en-GB"/>
        </w:rPr>
        <w:footnoteReference w:id="60"/>
      </w:r>
    </w:p>
    <w:p w:rsidR="001A6C34" w:rsidRPr="007F5029" w:rsidRDefault="001A6C34" w:rsidP="001A6C34">
      <w:pPr>
        <w:spacing w:after="0" w:line="360" w:lineRule="auto"/>
        <w:ind w:right="26" w:firstLine="72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color w:val="000000"/>
          <w:sz w:val="24"/>
          <w:szCs w:val="24"/>
          <w:lang w:val="en-GB" w:eastAsia="en-GB"/>
        </w:rPr>
        <w:lastRenderedPageBreak/>
        <w:t xml:space="preserve">If </w:t>
      </w:r>
      <w:r w:rsidRPr="007F5029">
        <w:rPr>
          <w:rFonts w:ascii="Times New Roman" w:eastAsia="Times New Roman" w:hAnsi="Times New Roman" w:cs="Times New Roman"/>
          <w:sz w:val="24"/>
          <w:szCs w:val="24"/>
          <w:lang w:val="en-GB" w:eastAsia="en-GB"/>
        </w:rPr>
        <w:t xml:space="preserve">one looks at the larger canonical sequence, the proceeding narrative states quite emphatically that the </w:t>
      </w:r>
      <w:proofErr w:type="spellStart"/>
      <w:r w:rsidRPr="007F5029">
        <w:rPr>
          <w:rFonts w:ascii="Times New Roman" w:eastAsia="Times New Roman" w:hAnsi="Times New Roman" w:cs="Times New Roman"/>
          <w:sz w:val="24"/>
          <w:szCs w:val="24"/>
          <w:lang w:val="en-GB" w:eastAsia="en-GB"/>
        </w:rPr>
        <w:t>Midianites</w:t>
      </w:r>
      <w:proofErr w:type="spellEnd"/>
      <w:r w:rsidRPr="007F5029">
        <w:rPr>
          <w:rFonts w:ascii="Times New Roman" w:eastAsia="Times New Roman" w:hAnsi="Times New Roman" w:cs="Times New Roman"/>
          <w:sz w:val="24"/>
          <w:szCs w:val="24"/>
          <w:lang w:val="en-GB" w:eastAsia="en-GB"/>
        </w:rPr>
        <w:t xml:space="preserve"> were not, in fact, literally wiped out. In Judges 6 and 7, the </w:t>
      </w:r>
      <w:proofErr w:type="spellStart"/>
      <w:r w:rsidRPr="007F5029">
        <w:rPr>
          <w:rFonts w:ascii="Times New Roman" w:eastAsia="Times New Roman" w:hAnsi="Times New Roman" w:cs="Times New Roman"/>
          <w:sz w:val="24"/>
          <w:szCs w:val="24"/>
          <w:lang w:val="en-GB" w:eastAsia="en-GB"/>
        </w:rPr>
        <w:t>Midianites</w:t>
      </w:r>
      <w:proofErr w:type="spellEnd"/>
      <w:r w:rsidRPr="007F5029">
        <w:rPr>
          <w:rFonts w:ascii="Times New Roman" w:eastAsia="Times New Roman" w:hAnsi="Times New Roman" w:cs="Times New Roman"/>
          <w:sz w:val="24"/>
          <w:szCs w:val="24"/>
          <w:lang w:val="en-GB" w:eastAsia="en-GB"/>
        </w:rPr>
        <w:t xml:space="preserve"> invade Israel in numbers said to be “like swarms of locusts. It was impossible to count them or their camels” (Judges 6:5).  Israel was so overrun with </w:t>
      </w:r>
      <w:proofErr w:type="spellStart"/>
      <w:r w:rsidRPr="007F5029">
        <w:rPr>
          <w:rFonts w:ascii="Times New Roman" w:eastAsia="Times New Roman" w:hAnsi="Times New Roman" w:cs="Times New Roman"/>
          <w:sz w:val="24"/>
          <w:szCs w:val="24"/>
          <w:lang w:val="en-GB" w:eastAsia="en-GB"/>
        </w:rPr>
        <w:t>Midianites</w:t>
      </w:r>
      <w:proofErr w:type="spellEnd"/>
      <w:r w:rsidRPr="007F5029">
        <w:rPr>
          <w:rFonts w:ascii="Times New Roman" w:eastAsia="Times New Roman" w:hAnsi="Times New Roman" w:cs="Times New Roman"/>
          <w:sz w:val="24"/>
          <w:szCs w:val="24"/>
          <w:lang w:val="en-GB" w:eastAsia="en-GB"/>
        </w:rPr>
        <w:t xml:space="preserve"> that they fled to “mountain clefts, caves and strongholds” (Judges 6:2).  Unable to win in open battle, Gideon was forced to use deception to defeat them. This is not congruous with the </w:t>
      </w:r>
      <w:proofErr w:type="spellStart"/>
      <w:r w:rsidRPr="007F5029">
        <w:rPr>
          <w:rFonts w:ascii="Times New Roman" w:eastAsia="Times New Roman" w:hAnsi="Times New Roman" w:cs="Times New Roman"/>
          <w:sz w:val="24"/>
          <w:szCs w:val="24"/>
          <w:lang w:val="en-GB" w:eastAsia="en-GB"/>
        </w:rPr>
        <w:t>Midianites</w:t>
      </w:r>
      <w:proofErr w:type="spellEnd"/>
      <w:r w:rsidRPr="007F5029">
        <w:rPr>
          <w:rFonts w:ascii="Times New Roman" w:eastAsia="Times New Roman" w:hAnsi="Times New Roman" w:cs="Times New Roman"/>
          <w:sz w:val="24"/>
          <w:szCs w:val="24"/>
          <w:lang w:val="en-GB" w:eastAsia="en-GB"/>
        </w:rPr>
        <w:t xml:space="preserve"> having been “utterly destroyed.”</w:t>
      </w:r>
    </w:p>
    <w:p w:rsidR="001A6C34" w:rsidRPr="007F5029" w:rsidRDefault="001A6C34" w:rsidP="001A6C34">
      <w:pPr>
        <w:spacing w:after="0" w:line="360" w:lineRule="auto"/>
        <w:ind w:right="26" w:firstLine="72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Second, these tensions in the text are fairly obvious. As with Joshua, whoever “edited the final version of these writings into one sequence”</w:t>
      </w:r>
      <w:r w:rsidRPr="007F5029">
        <w:rPr>
          <w:rFonts w:ascii="Times New Roman" w:eastAsia="Times New Roman" w:hAnsi="Times New Roman" w:cs="Times New Roman"/>
          <w:sz w:val="24"/>
          <w:szCs w:val="24"/>
          <w:vertAlign w:val="superscript"/>
          <w:lang w:val="en-GB" w:eastAsia="en-GB"/>
        </w:rPr>
        <w:footnoteReference w:id="61"/>
      </w:r>
      <w:r w:rsidRPr="007F5029">
        <w:rPr>
          <w:rFonts w:ascii="Times New Roman" w:eastAsia="Times New Roman" w:hAnsi="Times New Roman" w:cs="Times New Roman"/>
          <w:sz w:val="24"/>
          <w:szCs w:val="24"/>
          <w:lang w:val="en-GB" w:eastAsia="en-GB"/>
        </w:rPr>
        <w:t xml:space="preserve"> juxtaposed several accounts, which, if taken literally, describe Israel, at Moses’ command, annihilating the entire population of </w:t>
      </w:r>
      <w:proofErr w:type="spellStart"/>
      <w:r w:rsidRPr="007F5029">
        <w:rPr>
          <w:rFonts w:ascii="Times New Roman" w:eastAsia="Times New Roman" w:hAnsi="Times New Roman" w:cs="Times New Roman"/>
          <w:sz w:val="24"/>
          <w:szCs w:val="24"/>
          <w:lang w:val="en-GB" w:eastAsia="en-GB"/>
        </w:rPr>
        <w:t>Midian</w:t>
      </w:r>
      <w:proofErr w:type="spellEnd"/>
      <w:r w:rsidRPr="007F5029">
        <w:rPr>
          <w:rFonts w:ascii="Times New Roman" w:eastAsia="Times New Roman" w:hAnsi="Times New Roman" w:cs="Times New Roman"/>
          <w:sz w:val="24"/>
          <w:szCs w:val="24"/>
          <w:lang w:val="en-GB" w:eastAsia="en-GB"/>
        </w:rPr>
        <w:t xml:space="preserve"> (including non-combatants); yet several other accounts affirm that God prohibits the killing of non-combatants and that the </w:t>
      </w:r>
      <w:proofErr w:type="spellStart"/>
      <w:r w:rsidRPr="007F5029">
        <w:rPr>
          <w:rFonts w:ascii="Times New Roman" w:eastAsia="Times New Roman" w:hAnsi="Times New Roman" w:cs="Times New Roman"/>
          <w:sz w:val="24"/>
          <w:szCs w:val="24"/>
          <w:lang w:val="en-GB" w:eastAsia="en-GB"/>
        </w:rPr>
        <w:t>Midianites</w:t>
      </w:r>
      <w:proofErr w:type="spellEnd"/>
      <w:r w:rsidRPr="007F5029">
        <w:rPr>
          <w:rFonts w:ascii="Times New Roman" w:eastAsia="Times New Roman" w:hAnsi="Times New Roman" w:cs="Times New Roman"/>
          <w:sz w:val="24"/>
          <w:szCs w:val="24"/>
          <w:lang w:val="en-GB" w:eastAsia="en-GB"/>
        </w:rPr>
        <w:t xml:space="preserve"> were not annihilated. Assuming this person was not “mindless,” he cannot have intended to affirm both as literally true.</w:t>
      </w:r>
    </w:p>
    <w:p w:rsidR="001A6C34" w:rsidRPr="007F5029" w:rsidRDefault="001A6C34" w:rsidP="001A6C34">
      <w:pPr>
        <w:spacing w:after="0" w:line="360" w:lineRule="auto"/>
        <w:ind w:firstLine="72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color w:val="000000"/>
          <w:sz w:val="24"/>
          <w:szCs w:val="24"/>
          <w:lang w:val="en-GB" w:eastAsia="en-GB"/>
        </w:rPr>
        <w:t xml:space="preserve">Third, the genre and style of the accounts suggests Numbers 31 is the non-literal account. </w:t>
      </w:r>
      <w:r w:rsidRPr="007F5029">
        <w:rPr>
          <w:rFonts w:ascii="Times New Roman" w:eastAsia="Times New Roman" w:hAnsi="Times New Roman" w:cs="Times New Roman"/>
          <w:sz w:val="24"/>
          <w:szCs w:val="24"/>
          <w:lang w:val="en-GB" w:eastAsia="en-GB"/>
        </w:rPr>
        <w:t>Numbers 31 appears highly hyperbolic; it contains obvious rhetorical exaggeration.</w:t>
      </w:r>
      <w:r w:rsidRPr="007F5029">
        <w:rPr>
          <w:rFonts w:ascii="Times New Roman" w:eastAsia="Times New Roman" w:hAnsi="Times New Roman" w:cs="Times New Roman"/>
          <w:sz w:val="24"/>
          <w:szCs w:val="24"/>
          <w:vertAlign w:val="superscript"/>
          <w:lang w:val="en-GB" w:eastAsia="en-GB"/>
        </w:rPr>
        <w:footnoteReference w:id="62"/>
      </w:r>
      <w:r w:rsidRPr="007F5029">
        <w:rPr>
          <w:rFonts w:ascii="Times New Roman" w:eastAsia="Times New Roman" w:hAnsi="Times New Roman" w:cs="Times New Roman"/>
          <w:sz w:val="24"/>
          <w:szCs w:val="24"/>
          <w:lang w:val="en-GB" w:eastAsia="en-GB"/>
        </w:rPr>
        <w:t xml:space="preserve"> The Israelite army is said to have killed every </w:t>
      </w:r>
      <w:proofErr w:type="spellStart"/>
      <w:r w:rsidRPr="007F5029">
        <w:rPr>
          <w:rFonts w:ascii="Times New Roman" w:eastAsia="Times New Roman" w:hAnsi="Times New Roman" w:cs="Times New Roman"/>
          <w:sz w:val="24"/>
          <w:szCs w:val="24"/>
          <w:lang w:val="en-GB" w:eastAsia="en-GB"/>
        </w:rPr>
        <w:t>Midianite</w:t>
      </w:r>
      <w:proofErr w:type="spellEnd"/>
      <w:r w:rsidRPr="007F5029">
        <w:rPr>
          <w:rFonts w:ascii="Times New Roman" w:eastAsia="Times New Roman" w:hAnsi="Times New Roman" w:cs="Times New Roman"/>
          <w:sz w:val="24"/>
          <w:szCs w:val="24"/>
          <w:lang w:val="en-GB" w:eastAsia="en-GB"/>
        </w:rPr>
        <w:t xml:space="preserve"> man in battle without a single Israelite </w:t>
      </w:r>
      <w:r w:rsidRPr="007F5029">
        <w:rPr>
          <w:rFonts w:ascii="Times New Roman" w:eastAsia="Times New Roman" w:hAnsi="Times New Roman" w:cs="Times New Roman"/>
          <w:sz w:val="24"/>
          <w:szCs w:val="24"/>
          <w:lang w:val="en-GB" w:eastAsia="en-GB"/>
        </w:rPr>
        <w:lastRenderedPageBreak/>
        <w:t>fatality (Numbers 31:50).</w:t>
      </w:r>
      <w:r w:rsidRPr="007F5029">
        <w:rPr>
          <w:rFonts w:ascii="Times New Roman" w:eastAsia="Times New Roman" w:hAnsi="Times New Roman" w:cs="Times New Roman"/>
          <w:sz w:val="24"/>
          <w:szCs w:val="24"/>
          <w:vertAlign w:val="superscript"/>
          <w:lang w:val="en-GB" w:eastAsia="en-GB"/>
        </w:rPr>
        <w:footnoteReference w:id="63"/>
      </w:r>
      <w:r w:rsidRPr="007F5029">
        <w:rPr>
          <w:rFonts w:ascii="Times New Roman" w:eastAsia="Times New Roman" w:hAnsi="Times New Roman" w:cs="Times New Roman"/>
          <w:sz w:val="24"/>
          <w:szCs w:val="24"/>
          <w:lang w:val="en-GB" w:eastAsia="en-GB"/>
        </w:rPr>
        <w:t xml:space="preserve"> Moreover, the spoil from the battle is said to be 32,000 maidens, 675,000 sheep and goats—this is astronomically and absurdly large.</w:t>
      </w:r>
      <w:r w:rsidRPr="007F5029">
        <w:rPr>
          <w:rFonts w:ascii="Times New Roman" w:eastAsia="Times New Roman" w:hAnsi="Times New Roman" w:cs="Times New Roman"/>
          <w:sz w:val="24"/>
          <w:szCs w:val="24"/>
          <w:vertAlign w:val="superscript"/>
          <w:lang w:val="en-GB" w:eastAsia="en-GB"/>
        </w:rPr>
        <w:footnoteReference w:id="64"/>
      </w:r>
      <w:r w:rsidRPr="007F5029">
        <w:rPr>
          <w:rFonts w:ascii="Times New Roman" w:eastAsia="Times New Roman" w:hAnsi="Times New Roman" w:cs="Times New Roman"/>
          <w:sz w:val="24"/>
          <w:szCs w:val="24"/>
          <w:lang w:val="en-GB" w:eastAsia="en-GB"/>
        </w:rPr>
        <w:t xml:space="preserve"> Daniel </w:t>
      </w:r>
      <w:proofErr w:type="spellStart"/>
      <w:r w:rsidRPr="007F5029">
        <w:rPr>
          <w:rFonts w:ascii="Times New Roman" w:eastAsia="Times New Roman" w:hAnsi="Times New Roman" w:cs="Times New Roman"/>
          <w:sz w:val="24"/>
          <w:szCs w:val="24"/>
          <w:lang w:val="en-GB" w:eastAsia="en-GB"/>
        </w:rPr>
        <w:t>Fouts</w:t>
      </w:r>
      <w:proofErr w:type="spellEnd"/>
      <w:r w:rsidRPr="007F5029">
        <w:rPr>
          <w:rFonts w:ascii="Times New Roman" w:eastAsia="Times New Roman" w:hAnsi="Times New Roman" w:cs="Times New Roman"/>
          <w:sz w:val="24"/>
          <w:szCs w:val="24"/>
          <w:lang w:val="en-GB" w:eastAsia="en-GB"/>
        </w:rPr>
        <w:t xml:space="preserve"> notes that exaggerated numbers are common forms of hyperbole in ancient Near Eastern battle accounts.</w:t>
      </w:r>
      <w:r w:rsidRPr="007F5029">
        <w:rPr>
          <w:rFonts w:ascii="Times New Roman" w:eastAsia="Times New Roman" w:hAnsi="Times New Roman" w:cs="Times New Roman"/>
          <w:sz w:val="24"/>
          <w:szCs w:val="24"/>
          <w:vertAlign w:val="superscript"/>
          <w:lang w:val="en-GB" w:eastAsia="en-GB"/>
        </w:rPr>
        <w:footnoteReference w:id="65"/>
      </w:r>
      <w:r w:rsidRPr="007F5029">
        <w:rPr>
          <w:rFonts w:ascii="Times New Roman" w:eastAsia="Times New Roman" w:hAnsi="Times New Roman" w:cs="Times New Roman"/>
          <w:sz w:val="24"/>
          <w:szCs w:val="24"/>
          <w:lang w:val="en-GB" w:eastAsia="en-GB"/>
        </w:rPr>
        <w:t xml:space="preserve"> Wolterstorff suggests “These are all hyperbolic descriptions of battles that took place.”</w:t>
      </w:r>
      <w:r w:rsidRPr="007F5029">
        <w:rPr>
          <w:rFonts w:ascii="Times New Roman" w:eastAsia="Times New Roman" w:hAnsi="Times New Roman" w:cs="Times New Roman"/>
          <w:sz w:val="24"/>
          <w:szCs w:val="24"/>
          <w:vertAlign w:val="superscript"/>
          <w:lang w:val="en-GB" w:eastAsia="en-GB"/>
        </w:rPr>
        <w:footnoteReference w:id="66"/>
      </w:r>
    </w:p>
    <w:p w:rsidR="001A6C34" w:rsidRPr="007F5029" w:rsidRDefault="001A6C34" w:rsidP="001A6C34">
      <w:pPr>
        <w:spacing w:after="0" w:line="360" w:lineRule="auto"/>
        <w:ind w:firstLine="720"/>
        <w:rPr>
          <w:rFonts w:ascii="Times New Roman" w:eastAsia="Times New Roman" w:hAnsi="Times New Roman" w:cs="Times New Roman"/>
          <w:sz w:val="24"/>
          <w:szCs w:val="24"/>
          <w:lang w:val="en-GB" w:eastAsia="en-GB"/>
        </w:rPr>
      </w:pPr>
      <w:r w:rsidRPr="007F5029">
        <w:rPr>
          <w:rFonts w:ascii="Times New Roman" w:eastAsia="Times New Roman" w:hAnsi="Times New Roman" w:cs="Times New Roman"/>
          <w:sz w:val="24"/>
          <w:szCs w:val="24"/>
          <w:lang w:val="en-GB" w:eastAsia="en-GB"/>
        </w:rPr>
        <w:t xml:space="preserve">So, if we read the text in the literary context of the broader canon we again see the author juxtaposing two accounts. One claims that God prohibits killing non-combatants and that the </w:t>
      </w:r>
      <w:proofErr w:type="spellStart"/>
      <w:r w:rsidRPr="007F5029">
        <w:rPr>
          <w:rFonts w:ascii="Times New Roman" w:eastAsia="Times New Roman" w:hAnsi="Times New Roman" w:cs="Times New Roman"/>
          <w:sz w:val="24"/>
          <w:szCs w:val="24"/>
          <w:lang w:val="en-GB" w:eastAsia="en-GB"/>
        </w:rPr>
        <w:t>Midianites</w:t>
      </w:r>
      <w:proofErr w:type="spellEnd"/>
      <w:r w:rsidRPr="007F5029">
        <w:rPr>
          <w:rFonts w:ascii="Times New Roman" w:eastAsia="Times New Roman" w:hAnsi="Times New Roman" w:cs="Times New Roman"/>
          <w:sz w:val="24"/>
          <w:szCs w:val="24"/>
          <w:lang w:val="en-GB" w:eastAsia="en-GB"/>
        </w:rPr>
        <w:t xml:space="preserve"> continued to live in the land as a serious military threat; another account, using rhetoric known to be used hyperbolically in military contexts, states that Israel, at Moses’ command, wiped them all out. Assuming the author was an intelligent person,</w:t>
      </w:r>
      <w:r w:rsidRPr="007F5029">
        <w:rPr>
          <w:rFonts w:ascii="Times New Roman" w:eastAsia="Times New Roman" w:hAnsi="Times New Roman" w:cs="Times New Roman"/>
          <w:sz w:val="24"/>
          <w:szCs w:val="24"/>
          <w:vertAlign w:val="superscript"/>
          <w:lang w:val="en-GB" w:eastAsia="en-GB"/>
        </w:rPr>
        <w:footnoteReference w:id="67"/>
      </w:r>
      <w:r w:rsidRPr="007F5029">
        <w:rPr>
          <w:rFonts w:ascii="Times New Roman" w:eastAsia="Times New Roman" w:hAnsi="Times New Roman" w:cs="Times New Roman"/>
          <w:sz w:val="24"/>
          <w:szCs w:val="24"/>
          <w:lang w:val="en-GB" w:eastAsia="en-GB"/>
        </w:rPr>
        <w:t xml:space="preserve"> we are at least owed an argument as to why one should read these texts as literally claiming that God commanded genocide.</w:t>
      </w:r>
      <w:r w:rsidRPr="007F5029">
        <w:rPr>
          <w:rFonts w:ascii="Times New Roman" w:eastAsia="Times New Roman" w:hAnsi="Times New Roman" w:cs="Times New Roman"/>
          <w:sz w:val="24"/>
          <w:szCs w:val="24"/>
          <w:vertAlign w:val="superscript"/>
          <w:lang w:val="en-GB" w:eastAsia="en-GB"/>
        </w:rPr>
        <w:footnoteReference w:id="68"/>
      </w:r>
    </w:p>
    <w:p w:rsidR="001A6C34" w:rsidRPr="002D4B72" w:rsidRDefault="001A6C34" w:rsidP="001A6C34">
      <w:pPr>
        <w:autoSpaceDE w:val="0"/>
        <w:autoSpaceDN w:val="0"/>
        <w:adjustRightInd w:val="0"/>
        <w:spacing w:after="0" w:line="360" w:lineRule="auto"/>
        <w:ind w:firstLine="720"/>
        <w:rPr>
          <w:rFonts w:ascii="Times New Roman" w:eastAsia="Times New Roman" w:hAnsi="Times New Roman" w:cs="Times New Roman"/>
          <w:sz w:val="24"/>
          <w:szCs w:val="24"/>
        </w:rPr>
      </w:pPr>
      <w:r w:rsidRPr="00A46409">
        <w:rPr>
          <w:rFonts w:ascii="Times New Roman" w:eastAsia="Times New Roman" w:hAnsi="Times New Roman" w:cs="Times New Roman"/>
          <w:sz w:val="24"/>
          <w:szCs w:val="24"/>
          <w:lang w:val="en-GB" w:eastAsia="en-GB"/>
        </w:rPr>
        <w:t>A similar phenomenon</w:t>
      </w:r>
      <w:r w:rsidRPr="007F5029">
        <w:rPr>
          <w:rFonts w:ascii="Times New Roman" w:eastAsia="Times New Roman" w:hAnsi="Times New Roman" w:cs="Times New Roman"/>
          <w:sz w:val="24"/>
          <w:szCs w:val="24"/>
          <w:lang w:val="en-GB" w:eastAsia="en-GB"/>
        </w:rPr>
        <w:t xml:space="preserve"> occurs with the case of the Amalekites,</w:t>
      </w:r>
      <w:r w:rsidRPr="007F5029">
        <w:rPr>
          <w:rFonts w:ascii="Times New Roman" w:eastAsia="Times New Roman" w:hAnsi="Times New Roman" w:cs="Times New Roman"/>
          <w:sz w:val="24"/>
          <w:szCs w:val="24"/>
          <w:vertAlign w:val="superscript"/>
          <w:lang w:val="en-GB" w:eastAsia="en-GB"/>
        </w:rPr>
        <w:footnoteReference w:id="69"/>
      </w:r>
      <w:r w:rsidRPr="007F5029">
        <w:rPr>
          <w:rFonts w:ascii="Times New Roman" w:eastAsia="Times New Roman" w:hAnsi="Times New Roman" w:cs="Times New Roman"/>
          <w:sz w:val="24"/>
          <w:szCs w:val="24"/>
          <w:lang w:val="en-GB" w:eastAsia="en-GB"/>
        </w:rPr>
        <w:t xml:space="preserve"> the Babylonian invasions</w:t>
      </w:r>
      <w:r w:rsidRPr="007F5029">
        <w:rPr>
          <w:rFonts w:ascii="Times New Roman" w:eastAsia="Times New Roman" w:hAnsi="Times New Roman" w:cs="Times New Roman"/>
          <w:sz w:val="24"/>
          <w:szCs w:val="24"/>
          <w:vertAlign w:val="superscript"/>
          <w:lang w:val="en-GB" w:eastAsia="en-GB"/>
        </w:rPr>
        <w:footnoteReference w:id="70"/>
      </w:r>
      <w:r w:rsidRPr="007F5029">
        <w:rPr>
          <w:rFonts w:ascii="Times New Roman" w:eastAsia="Times New Roman" w:hAnsi="Times New Roman" w:cs="Times New Roman"/>
          <w:sz w:val="24"/>
          <w:szCs w:val="24"/>
          <w:lang w:val="en-GB" w:eastAsia="en-GB"/>
        </w:rPr>
        <w:t xml:space="preserve"> and the sacking of </w:t>
      </w:r>
      <w:proofErr w:type="spellStart"/>
      <w:r w:rsidRPr="007F5029">
        <w:rPr>
          <w:rFonts w:ascii="Times New Roman" w:eastAsia="Times New Roman" w:hAnsi="Times New Roman" w:cs="Times New Roman"/>
          <w:sz w:val="24"/>
          <w:szCs w:val="24"/>
          <w:lang w:val="en-GB" w:eastAsia="en-GB"/>
        </w:rPr>
        <w:t>Jebusite</w:t>
      </w:r>
      <w:proofErr w:type="spellEnd"/>
      <w:r w:rsidRPr="007F5029">
        <w:rPr>
          <w:rFonts w:ascii="Times New Roman" w:eastAsia="Times New Roman" w:hAnsi="Times New Roman" w:cs="Times New Roman"/>
          <w:sz w:val="24"/>
          <w:szCs w:val="24"/>
          <w:lang w:val="en-GB" w:eastAsia="en-GB"/>
        </w:rPr>
        <w:t xml:space="preserve"> city of Jerusalem.</w:t>
      </w:r>
      <w:r w:rsidRPr="007F5029">
        <w:rPr>
          <w:rFonts w:ascii="Times New Roman" w:eastAsia="Times New Roman" w:hAnsi="Times New Roman" w:cs="Times New Roman"/>
          <w:sz w:val="24"/>
          <w:szCs w:val="24"/>
          <w:vertAlign w:val="superscript"/>
          <w:lang w:val="en-GB" w:eastAsia="en-GB"/>
        </w:rPr>
        <w:footnoteReference w:id="71"/>
      </w:r>
      <w:r w:rsidRPr="007F5029">
        <w:rPr>
          <w:rFonts w:ascii="Times New Roman" w:eastAsia="Times New Roman" w:hAnsi="Times New Roman" w:cs="Times New Roman"/>
          <w:sz w:val="24"/>
          <w:szCs w:val="24"/>
          <w:lang w:val="en-GB" w:eastAsia="en-GB"/>
        </w:rPr>
        <w:t xml:space="preserve"> In each case a battle is narrated in </w:t>
      </w:r>
      <w:proofErr w:type="spellStart"/>
      <w:r w:rsidRPr="007F5029">
        <w:rPr>
          <w:rFonts w:ascii="Times New Roman" w:eastAsia="Times New Roman" w:hAnsi="Times New Roman" w:cs="Times New Roman"/>
          <w:sz w:val="24"/>
          <w:szCs w:val="24"/>
          <w:lang w:val="en-GB" w:eastAsia="en-GB"/>
        </w:rPr>
        <w:t>totalistic</w:t>
      </w:r>
      <w:proofErr w:type="spellEnd"/>
      <w:r w:rsidRPr="007F5029">
        <w:rPr>
          <w:rFonts w:ascii="Times New Roman" w:eastAsia="Times New Roman" w:hAnsi="Times New Roman" w:cs="Times New Roman"/>
          <w:sz w:val="24"/>
          <w:szCs w:val="24"/>
          <w:lang w:val="en-GB" w:eastAsia="en-GB"/>
        </w:rPr>
        <w:t xml:space="preserve"> terms of complete destruction of all the people</w:t>
      </w:r>
      <w:r>
        <w:rPr>
          <w:rFonts w:ascii="Times New Roman" w:eastAsia="Times New Roman" w:hAnsi="Times New Roman" w:cs="Times New Roman"/>
          <w:sz w:val="24"/>
          <w:szCs w:val="24"/>
          <w:lang w:val="en-GB" w:eastAsia="en-GB"/>
        </w:rPr>
        <w:t>,</w:t>
      </w:r>
      <w:r w:rsidRPr="007F5029">
        <w:rPr>
          <w:rFonts w:ascii="Times New Roman" w:eastAsia="Times New Roman" w:hAnsi="Times New Roman" w:cs="Times New Roman"/>
          <w:sz w:val="24"/>
          <w:szCs w:val="24"/>
          <w:lang w:val="en-GB" w:eastAsia="en-GB"/>
        </w:rPr>
        <w:t xml:space="preserve"> yet later narration goes on to matter-of-factly assume it did not literally occur. The fact that this occurs on multiple occasions in different books rapidly diminishes the probability that these features are coincidental or careless errors. </w:t>
      </w:r>
      <w:r w:rsidRPr="007F5029">
        <w:rPr>
          <w:rFonts w:ascii="Times New Roman" w:eastAsia="Times New Roman" w:hAnsi="Times New Roman" w:cs="Times New Roman"/>
          <w:sz w:val="24"/>
          <w:szCs w:val="24"/>
          <w:lang w:val="en-GB" w:eastAsia="en-GB"/>
        </w:rPr>
        <w:lastRenderedPageBreak/>
        <w:t xml:space="preserve">Why is it that </w:t>
      </w:r>
      <w:r w:rsidRPr="007F5029">
        <w:rPr>
          <w:rFonts w:ascii="Times New Roman" w:eastAsia="Times New Roman" w:hAnsi="Times New Roman" w:cs="Times New Roman"/>
          <w:i/>
          <w:sz w:val="24"/>
          <w:szCs w:val="24"/>
          <w:lang w:val="en-GB" w:eastAsia="en-GB"/>
        </w:rPr>
        <w:t>almost every time</w:t>
      </w:r>
      <w:r w:rsidRPr="007F5029">
        <w:rPr>
          <w:rFonts w:ascii="Times New Roman" w:eastAsia="Times New Roman" w:hAnsi="Times New Roman" w:cs="Times New Roman"/>
          <w:sz w:val="24"/>
          <w:szCs w:val="24"/>
          <w:lang w:val="en-GB" w:eastAsia="en-GB"/>
        </w:rPr>
        <w:t xml:space="preserve"> a narration of “genocide” occurs, it is followed by an account that presupposes it did not happen? These facts significantly raise the probability that this is deliberate literary construction by the authors</w:t>
      </w:r>
      <w:r>
        <w:rPr>
          <w:rFonts w:ascii="Times New Roman" w:eastAsia="Times New Roman" w:hAnsi="Times New Roman" w:cs="Times New Roman"/>
          <w:sz w:val="24"/>
          <w:szCs w:val="24"/>
          <w:lang w:val="en-GB" w:eastAsia="en-GB"/>
        </w:rPr>
        <w:t>.</w:t>
      </w:r>
    </w:p>
    <w:p w:rsidR="002C5B1D" w:rsidRDefault="0067354D"/>
    <w:sectPr w:rsidR="002C5B1D" w:rsidSect="00513946">
      <w:footerReference w:type="even" r:id="rId7"/>
      <w:footerReference w:type="default" r:id="rId8"/>
      <w:footnotePr>
        <w:numRestart w:val="eachSect"/>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354D" w:rsidRDefault="0067354D" w:rsidP="001A6C34">
      <w:pPr>
        <w:spacing w:after="0" w:line="240" w:lineRule="auto"/>
      </w:pPr>
      <w:r>
        <w:separator/>
      </w:r>
    </w:p>
  </w:endnote>
  <w:endnote w:type="continuationSeparator" w:id="0">
    <w:p w:rsidR="0067354D" w:rsidRDefault="0067354D" w:rsidP="001A6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Palatino Linotype">
    <w:altName w:val="Book Antiqua"/>
    <w:panose1 w:val="02040502050505030304"/>
    <w:charset w:val="00"/>
    <w:family w:val="roman"/>
    <w:pitch w:val="variable"/>
    <w:sig w:usb0="E0000287" w:usb1="40000013"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Helvetica Neue"/>
    <w:panose1 w:val="020208030705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39A" w:rsidRDefault="0067354D" w:rsidP="003F3ECA">
    <w:pPr>
      <w:pStyle w:val="Footer"/>
      <w:framePr w:wrap="around" w:vAnchor="text" w:hAnchor="margin" w:xAlign="center" w:y="1"/>
      <w:rPr>
        <w:rStyle w:val="PageNumber"/>
        <w:rFonts w:eastAsiaTheme="minorHAnsi"/>
      </w:rPr>
    </w:pPr>
    <w:r>
      <w:rPr>
        <w:rStyle w:val="PageNumber"/>
      </w:rPr>
      <w:fldChar w:fldCharType="begin"/>
    </w:r>
    <w:r>
      <w:rPr>
        <w:rStyle w:val="PageNumber"/>
      </w:rPr>
      <w:instrText xml:space="preserve">PAGE  </w:instrText>
    </w:r>
    <w:r>
      <w:rPr>
        <w:rStyle w:val="PageNumber"/>
      </w:rPr>
      <w:fldChar w:fldCharType="end"/>
    </w:r>
  </w:p>
  <w:p w:rsidR="000B439A" w:rsidRDefault="0067354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39A" w:rsidRDefault="0067354D" w:rsidP="003F3ECA">
    <w:pPr>
      <w:pStyle w:val="Footer"/>
      <w:framePr w:wrap="around" w:vAnchor="text" w:hAnchor="margin" w:xAlign="center" w:y="1"/>
      <w:rPr>
        <w:rStyle w:val="PageNumber"/>
        <w:rFonts w:eastAsiaTheme="minorHAnsi"/>
      </w:rPr>
    </w:pPr>
    <w:r>
      <w:rPr>
        <w:rStyle w:val="PageNumber"/>
      </w:rPr>
      <w:fldChar w:fldCharType="begin"/>
    </w:r>
    <w:r>
      <w:rPr>
        <w:rStyle w:val="PageNumber"/>
      </w:rPr>
      <w:instrText xml:space="preserve">PAGE  </w:instrText>
    </w:r>
    <w:r>
      <w:rPr>
        <w:rStyle w:val="PageNumber"/>
      </w:rPr>
      <w:fldChar w:fldCharType="separate"/>
    </w:r>
    <w:r w:rsidR="001A6C34">
      <w:rPr>
        <w:rStyle w:val="PageNumber"/>
        <w:noProof/>
      </w:rPr>
      <w:t>1</w:t>
    </w:r>
    <w:r>
      <w:rPr>
        <w:rStyle w:val="PageNumber"/>
      </w:rPr>
      <w:fldChar w:fldCharType="end"/>
    </w:r>
  </w:p>
  <w:p w:rsidR="000B439A" w:rsidRDefault="006735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354D" w:rsidRDefault="0067354D" w:rsidP="001A6C34">
      <w:pPr>
        <w:spacing w:after="0" w:line="240" w:lineRule="auto"/>
      </w:pPr>
      <w:r>
        <w:separator/>
      </w:r>
    </w:p>
  </w:footnote>
  <w:footnote w:type="continuationSeparator" w:id="0">
    <w:p w:rsidR="0067354D" w:rsidRDefault="0067354D" w:rsidP="001A6C34">
      <w:pPr>
        <w:spacing w:after="0" w:line="240" w:lineRule="auto"/>
      </w:pPr>
      <w:r>
        <w:continuationSeparator/>
      </w:r>
    </w:p>
  </w:footnote>
  <w:footnote w:id="1">
    <w:p w:rsidR="001A6C34" w:rsidRDefault="001A6C34" w:rsidP="001A6C34">
      <w:pPr>
        <w:pStyle w:val="sdfootnote"/>
        <w:spacing w:before="0" w:beforeAutospacing="0"/>
        <w:ind w:left="0" w:firstLine="0"/>
        <w:rPr>
          <w:rFonts w:asciiTheme="majorBidi" w:eastAsia="Calibri" w:hAnsiTheme="majorBidi" w:cstheme="majorBidi"/>
          <w:sz w:val="24"/>
          <w:szCs w:val="24"/>
          <w:lang w:val="en-US" w:eastAsia="en-US"/>
        </w:rPr>
      </w:pPr>
      <w:r w:rsidRPr="00CB53EF">
        <w:rPr>
          <w:rStyle w:val="FootnoteReference"/>
          <w:rFonts w:asciiTheme="majorBidi" w:hAnsiTheme="majorBidi" w:cstheme="majorBidi"/>
          <w:color w:val="000000"/>
          <w:sz w:val="24"/>
          <w:szCs w:val="24"/>
        </w:rPr>
        <w:footnoteRef/>
      </w:r>
      <w:r w:rsidRPr="00CB53EF">
        <w:rPr>
          <w:rFonts w:asciiTheme="majorBidi" w:hAnsiTheme="majorBidi" w:cstheme="majorBidi"/>
          <w:color w:val="000000"/>
          <w:sz w:val="24"/>
          <w:szCs w:val="24"/>
        </w:rPr>
        <w:t xml:space="preserve"> Raymond Bradley develops th</w:t>
      </w:r>
      <w:r>
        <w:rPr>
          <w:rFonts w:asciiTheme="majorBidi" w:hAnsiTheme="majorBidi" w:cstheme="majorBidi"/>
          <w:color w:val="000000"/>
          <w:sz w:val="24"/>
          <w:szCs w:val="24"/>
        </w:rPr>
        <w:t>is in</w:t>
      </w:r>
      <w:r w:rsidRPr="00CB53EF">
        <w:rPr>
          <w:rFonts w:asciiTheme="majorBidi" w:eastAsiaTheme="minorHAnsi" w:hAnsiTheme="majorBidi" w:cstheme="majorBidi"/>
          <w:color w:val="000000"/>
          <w:sz w:val="24"/>
          <w:szCs w:val="24"/>
          <w:lang w:val="en-US" w:eastAsia="en-US"/>
        </w:rPr>
        <w:t xml:space="preserve"> “A Moral Argument for Atheism,” in </w:t>
      </w:r>
      <w:r w:rsidRPr="00CB53EF">
        <w:rPr>
          <w:rFonts w:asciiTheme="majorBidi" w:eastAsiaTheme="minorHAnsi" w:hAnsiTheme="majorBidi" w:cstheme="majorBidi"/>
          <w:i/>
          <w:iCs/>
          <w:color w:val="000000"/>
          <w:sz w:val="24"/>
          <w:szCs w:val="24"/>
          <w:lang w:val="en-US" w:eastAsia="en-US"/>
        </w:rPr>
        <w:t>The Impossibility of God</w:t>
      </w:r>
      <w:r w:rsidRPr="00CB53EF">
        <w:rPr>
          <w:rFonts w:asciiTheme="majorBidi" w:eastAsiaTheme="minorHAnsi" w:hAnsiTheme="majorBidi" w:cstheme="majorBidi"/>
          <w:iCs/>
          <w:color w:val="000000"/>
          <w:sz w:val="24"/>
          <w:szCs w:val="24"/>
          <w:lang w:val="en-US" w:eastAsia="en-US"/>
        </w:rPr>
        <w:t>, eds.</w:t>
      </w:r>
      <w:r w:rsidRPr="00CB53EF">
        <w:rPr>
          <w:rFonts w:asciiTheme="majorBidi" w:eastAsiaTheme="minorHAnsi" w:hAnsiTheme="majorBidi" w:cstheme="majorBidi"/>
          <w:color w:val="000000"/>
          <w:sz w:val="24"/>
          <w:szCs w:val="24"/>
          <w:lang w:val="en-US" w:eastAsia="en-US"/>
        </w:rPr>
        <w:t xml:space="preserve"> Michael Martin and </w:t>
      </w:r>
      <w:proofErr w:type="spellStart"/>
      <w:r w:rsidRPr="00CB53EF">
        <w:rPr>
          <w:rFonts w:asciiTheme="majorBidi" w:eastAsiaTheme="minorHAnsi" w:hAnsiTheme="majorBidi" w:cstheme="majorBidi"/>
          <w:color w:val="000000"/>
          <w:sz w:val="24"/>
          <w:szCs w:val="24"/>
          <w:lang w:val="en-US" w:eastAsia="en-US"/>
        </w:rPr>
        <w:t>Ricki</w:t>
      </w:r>
      <w:proofErr w:type="spellEnd"/>
      <w:r w:rsidRPr="00CB53EF">
        <w:rPr>
          <w:rFonts w:asciiTheme="majorBidi" w:eastAsiaTheme="minorHAnsi" w:hAnsiTheme="majorBidi" w:cstheme="majorBidi"/>
          <w:color w:val="000000"/>
          <w:sz w:val="24"/>
          <w:szCs w:val="24"/>
          <w:lang w:val="en-US" w:eastAsia="en-US"/>
        </w:rPr>
        <w:t xml:space="preserve"> </w:t>
      </w:r>
      <w:proofErr w:type="spellStart"/>
      <w:r w:rsidRPr="00CB53EF">
        <w:rPr>
          <w:rFonts w:asciiTheme="majorBidi" w:eastAsiaTheme="minorHAnsi" w:hAnsiTheme="majorBidi" w:cstheme="majorBidi"/>
          <w:color w:val="000000"/>
          <w:sz w:val="24"/>
          <w:szCs w:val="24"/>
          <w:lang w:val="en-US" w:eastAsia="en-US"/>
        </w:rPr>
        <w:t>Monnier</w:t>
      </w:r>
      <w:proofErr w:type="spellEnd"/>
      <w:r w:rsidRPr="00CB53EF">
        <w:rPr>
          <w:rFonts w:asciiTheme="majorBidi" w:eastAsiaTheme="minorHAnsi" w:hAnsiTheme="majorBidi" w:cstheme="majorBidi"/>
          <w:color w:val="000000"/>
          <w:sz w:val="24"/>
          <w:szCs w:val="24"/>
          <w:lang w:val="en-US" w:eastAsia="en-US"/>
        </w:rPr>
        <w:t xml:space="preserve"> (Amherst, NY: Prometheus Books, 2003), 144.  Similar arguments</w:t>
      </w:r>
      <w:r>
        <w:rPr>
          <w:rFonts w:asciiTheme="majorBidi" w:eastAsiaTheme="minorHAnsi" w:hAnsiTheme="majorBidi" w:cstheme="majorBidi"/>
          <w:color w:val="000000"/>
          <w:sz w:val="24"/>
          <w:szCs w:val="24"/>
          <w:lang w:val="en-US" w:eastAsia="en-US"/>
        </w:rPr>
        <w:t xml:space="preserve"> </w:t>
      </w:r>
      <w:r w:rsidRPr="00CB53EF">
        <w:rPr>
          <w:rFonts w:asciiTheme="majorBidi" w:eastAsiaTheme="minorHAnsi" w:hAnsiTheme="majorBidi" w:cstheme="majorBidi"/>
          <w:color w:val="000000"/>
          <w:sz w:val="24"/>
          <w:szCs w:val="24"/>
          <w:lang w:val="en-US" w:eastAsia="en-US"/>
        </w:rPr>
        <w:t>to Bradley’s have been made</w:t>
      </w:r>
      <w:r>
        <w:rPr>
          <w:rFonts w:asciiTheme="majorBidi" w:hAnsiTheme="majorBidi" w:cstheme="majorBidi"/>
          <w:color w:val="000000"/>
          <w:sz w:val="24"/>
          <w:szCs w:val="24"/>
        </w:rPr>
        <w:t xml:space="preserve"> by W</w:t>
      </w:r>
      <w:proofErr w:type="spellStart"/>
      <w:r w:rsidRPr="00CB53EF">
        <w:rPr>
          <w:rFonts w:asciiTheme="majorBidi" w:eastAsiaTheme="minorHAnsi" w:hAnsiTheme="majorBidi" w:cstheme="majorBidi"/>
          <w:color w:val="000000"/>
          <w:sz w:val="24"/>
          <w:szCs w:val="24"/>
          <w:lang w:val="en-US" w:eastAsia="en-US"/>
        </w:rPr>
        <w:t>es</w:t>
      </w:r>
      <w:proofErr w:type="spellEnd"/>
      <w:r w:rsidRPr="00CB53EF">
        <w:rPr>
          <w:rFonts w:asciiTheme="majorBidi" w:eastAsiaTheme="minorHAnsi" w:hAnsiTheme="majorBidi" w:cstheme="majorBidi"/>
          <w:color w:val="000000"/>
          <w:sz w:val="24"/>
          <w:szCs w:val="24"/>
          <w:lang w:val="en-US" w:eastAsia="en-US"/>
        </w:rPr>
        <w:t xml:space="preserve"> Moriston, “Did God Command Genocide? A Challenge to the Biblical </w:t>
      </w:r>
      <w:proofErr w:type="spellStart"/>
      <w:r w:rsidRPr="00CB53EF">
        <w:rPr>
          <w:rFonts w:asciiTheme="majorBidi" w:eastAsiaTheme="minorHAnsi" w:hAnsiTheme="majorBidi" w:cstheme="majorBidi"/>
          <w:color w:val="000000"/>
          <w:sz w:val="24"/>
          <w:szCs w:val="24"/>
          <w:lang w:val="en-US" w:eastAsia="en-US"/>
        </w:rPr>
        <w:t>Inerrantist</w:t>
      </w:r>
      <w:proofErr w:type="spellEnd"/>
      <w:r w:rsidRPr="00CB53EF">
        <w:rPr>
          <w:rFonts w:asciiTheme="majorBidi" w:eastAsiaTheme="minorHAnsi" w:hAnsiTheme="majorBidi" w:cstheme="majorBidi"/>
          <w:color w:val="000000"/>
          <w:sz w:val="24"/>
          <w:szCs w:val="24"/>
          <w:lang w:val="en-US" w:eastAsia="en-US"/>
        </w:rPr>
        <w:t xml:space="preserve">,” </w:t>
      </w:r>
      <w:proofErr w:type="spellStart"/>
      <w:r w:rsidRPr="00CB53EF">
        <w:rPr>
          <w:rFonts w:asciiTheme="majorBidi" w:eastAsiaTheme="minorHAnsi" w:hAnsiTheme="majorBidi" w:cstheme="majorBidi"/>
          <w:i/>
          <w:iCs/>
          <w:color w:val="000000"/>
          <w:sz w:val="24"/>
          <w:szCs w:val="24"/>
          <w:lang w:val="en-US" w:eastAsia="en-US"/>
        </w:rPr>
        <w:t>Philosophia</w:t>
      </w:r>
      <w:proofErr w:type="spellEnd"/>
      <w:r w:rsidRPr="00CB53EF">
        <w:rPr>
          <w:rFonts w:asciiTheme="majorBidi" w:eastAsiaTheme="minorHAnsi" w:hAnsiTheme="majorBidi" w:cstheme="majorBidi"/>
          <w:i/>
          <w:iCs/>
          <w:color w:val="000000"/>
          <w:sz w:val="24"/>
          <w:szCs w:val="24"/>
          <w:lang w:val="en-US" w:eastAsia="en-US"/>
        </w:rPr>
        <w:t xml:space="preserve"> Christi</w:t>
      </w:r>
      <w:r w:rsidRPr="00CB53EF">
        <w:rPr>
          <w:rFonts w:asciiTheme="majorBidi" w:eastAsiaTheme="minorHAnsi" w:hAnsiTheme="majorBidi" w:cstheme="majorBidi"/>
          <w:color w:val="000000"/>
          <w:sz w:val="24"/>
          <w:szCs w:val="24"/>
          <w:lang w:val="en-US" w:eastAsia="en-US"/>
        </w:rPr>
        <w:t xml:space="preserve"> 11:1 (2009) 8-26; Randal </w:t>
      </w:r>
      <w:proofErr w:type="spellStart"/>
      <w:r w:rsidRPr="00CB53EF">
        <w:rPr>
          <w:rFonts w:asciiTheme="majorBidi" w:eastAsiaTheme="minorHAnsi" w:hAnsiTheme="majorBidi" w:cstheme="majorBidi"/>
          <w:color w:val="000000"/>
          <w:sz w:val="24"/>
          <w:szCs w:val="24"/>
          <w:lang w:val="en-US" w:eastAsia="en-US"/>
        </w:rPr>
        <w:t>Rauser</w:t>
      </w:r>
      <w:proofErr w:type="spellEnd"/>
      <w:r w:rsidRPr="00CB53EF">
        <w:rPr>
          <w:rFonts w:asciiTheme="majorBidi" w:eastAsiaTheme="minorHAnsi" w:hAnsiTheme="majorBidi" w:cstheme="majorBidi"/>
          <w:color w:val="000000"/>
          <w:sz w:val="24"/>
          <w:szCs w:val="24"/>
          <w:lang w:val="en-US" w:eastAsia="en-US"/>
        </w:rPr>
        <w:t xml:space="preserve"> “Let Nothing that Breathes Remain Alive: On the Problem of Divinely Commanded Genocide” </w:t>
      </w:r>
      <w:proofErr w:type="spellStart"/>
      <w:r w:rsidRPr="00CB53EF">
        <w:rPr>
          <w:rFonts w:asciiTheme="majorBidi" w:eastAsiaTheme="minorHAnsi" w:hAnsiTheme="majorBidi" w:cstheme="majorBidi"/>
          <w:i/>
          <w:iCs/>
          <w:color w:val="000000"/>
          <w:sz w:val="24"/>
          <w:szCs w:val="24"/>
          <w:lang w:val="en-US" w:eastAsia="en-US"/>
        </w:rPr>
        <w:t>Philosophia</w:t>
      </w:r>
      <w:proofErr w:type="spellEnd"/>
      <w:r w:rsidRPr="00CB53EF">
        <w:rPr>
          <w:rFonts w:asciiTheme="majorBidi" w:eastAsiaTheme="minorHAnsi" w:hAnsiTheme="majorBidi" w:cstheme="majorBidi"/>
          <w:i/>
          <w:iCs/>
          <w:color w:val="000000"/>
          <w:sz w:val="24"/>
          <w:szCs w:val="24"/>
          <w:lang w:val="en-US" w:eastAsia="en-US"/>
        </w:rPr>
        <w:t xml:space="preserve"> Christi</w:t>
      </w:r>
      <w:r w:rsidRPr="00CB53EF">
        <w:rPr>
          <w:rFonts w:asciiTheme="majorBidi" w:eastAsiaTheme="minorHAnsi" w:hAnsiTheme="majorBidi" w:cstheme="majorBidi"/>
          <w:color w:val="000000"/>
          <w:sz w:val="24"/>
          <w:szCs w:val="24"/>
          <w:lang w:val="en-US" w:eastAsia="en-US"/>
        </w:rPr>
        <w:t xml:space="preserve"> 11:1 (2009) 27-41; Michael </w:t>
      </w:r>
      <w:proofErr w:type="spellStart"/>
      <w:r w:rsidRPr="00CB53EF">
        <w:rPr>
          <w:rFonts w:asciiTheme="majorBidi" w:eastAsiaTheme="minorHAnsi" w:hAnsiTheme="majorBidi" w:cstheme="majorBidi"/>
          <w:color w:val="000000"/>
          <w:sz w:val="24"/>
          <w:szCs w:val="24"/>
          <w:lang w:val="en-US" w:eastAsia="en-US"/>
        </w:rPr>
        <w:t>Tooley</w:t>
      </w:r>
      <w:proofErr w:type="spellEnd"/>
      <w:r w:rsidRPr="00CB53EF">
        <w:rPr>
          <w:rFonts w:asciiTheme="majorBidi" w:eastAsiaTheme="minorHAnsi" w:hAnsiTheme="majorBidi" w:cstheme="majorBidi"/>
          <w:color w:val="000000"/>
          <w:sz w:val="24"/>
          <w:szCs w:val="24"/>
          <w:lang w:val="en-US" w:eastAsia="en-US"/>
        </w:rPr>
        <w:t xml:space="preserve"> “Does God Exist?” in </w:t>
      </w:r>
      <w:r w:rsidRPr="00CB53EF">
        <w:rPr>
          <w:rStyle w:val="Emphasis"/>
          <w:rFonts w:asciiTheme="majorBidi" w:eastAsiaTheme="minorHAnsi" w:hAnsiTheme="majorBidi" w:cstheme="majorBidi"/>
          <w:color w:val="000000"/>
          <w:sz w:val="24"/>
          <w:szCs w:val="24"/>
          <w:lang w:val="en-US" w:eastAsia="en-US"/>
        </w:rPr>
        <w:t xml:space="preserve">Michael </w:t>
      </w:r>
      <w:proofErr w:type="spellStart"/>
      <w:r w:rsidRPr="00CB53EF">
        <w:rPr>
          <w:rStyle w:val="Emphasis"/>
          <w:rFonts w:asciiTheme="majorBidi" w:eastAsiaTheme="minorHAnsi" w:hAnsiTheme="majorBidi" w:cstheme="majorBidi"/>
          <w:color w:val="000000"/>
          <w:sz w:val="24"/>
          <w:szCs w:val="24"/>
          <w:lang w:val="en-US" w:eastAsia="en-US"/>
        </w:rPr>
        <w:t>Tooley</w:t>
      </w:r>
      <w:proofErr w:type="spellEnd"/>
      <w:r w:rsidRPr="00CB53EF">
        <w:rPr>
          <w:rFonts w:asciiTheme="majorBidi" w:eastAsiaTheme="minorHAnsi" w:hAnsiTheme="majorBidi" w:cstheme="majorBidi"/>
          <w:color w:val="000000"/>
          <w:sz w:val="24"/>
          <w:szCs w:val="24"/>
          <w:lang w:val="en-US" w:eastAsia="en-US"/>
        </w:rPr>
        <w:t xml:space="preserve"> and Alvin </w:t>
      </w:r>
      <w:proofErr w:type="spellStart"/>
      <w:r w:rsidRPr="00CB53EF">
        <w:rPr>
          <w:rFonts w:asciiTheme="majorBidi" w:eastAsiaTheme="minorHAnsi" w:hAnsiTheme="majorBidi" w:cstheme="majorBidi"/>
          <w:color w:val="000000"/>
          <w:sz w:val="24"/>
          <w:szCs w:val="24"/>
          <w:lang w:val="en-US" w:eastAsia="en-US"/>
        </w:rPr>
        <w:t>Plantinga</w:t>
      </w:r>
      <w:proofErr w:type="spellEnd"/>
      <w:r w:rsidRPr="00CB53EF">
        <w:rPr>
          <w:rFonts w:asciiTheme="majorBidi" w:eastAsiaTheme="minorHAnsi" w:hAnsiTheme="majorBidi" w:cstheme="majorBidi"/>
          <w:color w:val="000000"/>
          <w:sz w:val="24"/>
          <w:szCs w:val="24"/>
          <w:lang w:val="en-US" w:eastAsia="en-US"/>
        </w:rPr>
        <w:t xml:space="preserve">, </w:t>
      </w:r>
      <w:r w:rsidRPr="00CB53EF">
        <w:rPr>
          <w:rStyle w:val="Emphasis"/>
          <w:rFonts w:asciiTheme="majorBidi" w:eastAsiaTheme="minorHAnsi" w:hAnsiTheme="majorBidi" w:cstheme="majorBidi"/>
          <w:color w:val="000000"/>
          <w:sz w:val="24"/>
          <w:szCs w:val="24"/>
          <w:lang w:val="en-US" w:eastAsia="en-US"/>
        </w:rPr>
        <w:t xml:space="preserve">The Knowledge of God </w:t>
      </w:r>
      <w:r w:rsidRPr="00CB53EF">
        <w:rPr>
          <w:rFonts w:asciiTheme="majorBidi" w:eastAsiaTheme="minorHAnsi" w:hAnsiTheme="majorBidi" w:cstheme="majorBidi"/>
          <w:color w:val="000000"/>
          <w:sz w:val="24"/>
          <w:szCs w:val="24"/>
          <w:lang w:val="en-US" w:eastAsia="en-US"/>
        </w:rPr>
        <w:t xml:space="preserve">(Malden, MA: Blackwell Publishers, 2008), 73-77; Evan </w:t>
      </w:r>
      <w:proofErr w:type="spellStart"/>
      <w:r w:rsidRPr="00CB53EF">
        <w:rPr>
          <w:rFonts w:asciiTheme="majorBidi" w:eastAsiaTheme="minorHAnsi" w:hAnsiTheme="majorBidi" w:cstheme="majorBidi"/>
          <w:color w:val="000000"/>
          <w:sz w:val="24"/>
          <w:szCs w:val="24"/>
          <w:lang w:val="en-US" w:eastAsia="en-US"/>
        </w:rPr>
        <w:t>Fales</w:t>
      </w:r>
      <w:proofErr w:type="spellEnd"/>
      <w:r w:rsidRPr="00CB53EF">
        <w:rPr>
          <w:rFonts w:asciiTheme="majorBidi" w:eastAsiaTheme="minorHAnsi" w:hAnsiTheme="majorBidi" w:cstheme="majorBidi"/>
          <w:color w:val="000000"/>
          <w:sz w:val="24"/>
          <w:szCs w:val="24"/>
          <w:lang w:val="en-US" w:eastAsia="en-US"/>
        </w:rPr>
        <w:t xml:space="preserve">, “Satanic Verses: Moral Chaos in Holy Writ,” in </w:t>
      </w:r>
      <w:r w:rsidRPr="00CB53EF">
        <w:rPr>
          <w:rFonts w:asciiTheme="majorBidi" w:eastAsiaTheme="minorHAnsi" w:hAnsiTheme="majorBidi" w:cstheme="majorBidi"/>
          <w:i/>
          <w:color w:val="000000"/>
          <w:sz w:val="24"/>
          <w:szCs w:val="24"/>
          <w:lang w:val="en-US" w:eastAsia="en-US"/>
        </w:rPr>
        <w:t>Divine Evil? The Moral Character of the God of Abraham</w:t>
      </w:r>
      <w:r w:rsidRPr="00CB53EF">
        <w:rPr>
          <w:rFonts w:asciiTheme="majorBidi" w:eastAsiaTheme="minorHAnsi" w:hAnsiTheme="majorBidi" w:cstheme="majorBidi"/>
          <w:color w:val="000000"/>
          <w:sz w:val="24"/>
          <w:szCs w:val="24"/>
          <w:lang w:val="en-US" w:eastAsia="en-US"/>
        </w:rPr>
        <w:t>, eds.</w:t>
      </w:r>
      <w:r w:rsidRPr="00CB53EF">
        <w:rPr>
          <w:rStyle w:val="apple-style-span"/>
          <w:rFonts w:asciiTheme="majorBidi" w:eastAsiaTheme="minorHAnsi" w:hAnsiTheme="majorBidi" w:cstheme="majorBidi"/>
          <w:bCs/>
          <w:color w:val="000000"/>
          <w:sz w:val="24"/>
          <w:szCs w:val="24"/>
          <w:lang w:val="en-US" w:eastAsia="en-US"/>
        </w:rPr>
        <w:t xml:space="preserve"> Michael Bergmann</w:t>
      </w:r>
      <w:r w:rsidRPr="00CB53EF">
        <w:rPr>
          <w:rStyle w:val="apple-style-span"/>
          <w:rFonts w:asciiTheme="majorBidi" w:eastAsiaTheme="minorHAnsi" w:hAnsiTheme="majorBidi" w:cstheme="majorBidi"/>
          <w:color w:val="000000"/>
          <w:sz w:val="24"/>
          <w:szCs w:val="24"/>
          <w:lang w:val="en-US" w:eastAsia="en-US"/>
        </w:rPr>
        <w:t>,</w:t>
      </w:r>
      <w:r w:rsidRPr="00CB53EF">
        <w:rPr>
          <w:rStyle w:val="apple-converted-space"/>
          <w:rFonts w:asciiTheme="majorBidi" w:eastAsiaTheme="minorHAnsi" w:hAnsiTheme="majorBidi" w:cstheme="majorBidi"/>
          <w:color w:val="000000"/>
          <w:sz w:val="24"/>
          <w:szCs w:val="24"/>
          <w:lang w:val="en-US" w:eastAsia="en-US"/>
        </w:rPr>
        <w:t> </w:t>
      </w:r>
      <w:r w:rsidRPr="00CB53EF">
        <w:rPr>
          <w:rStyle w:val="apple-style-span"/>
          <w:rFonts w:asciiTheme="majorBidi" w:eastAsiaTheme="minorHAnsi" w:hAnsiTheme="majorBidi" w:cstheme="majorBidi"/>
          <w:bCs/>
          <w:color w:val="000000"/>
          <w:sz w:val="24"/>
          <w:szCs w:val="24"/>
          <w:lang w:val="en-US" w:eastAsia="en-US"/>
        </w:rPr>
        <w:t>Michael J. Murray</w:t>
      </w:r>
      <w:r w:rsidRPr="00CB53EF">
        <w:rPr>
          <w:rStyle w:val="apple-style-span"/>
          <w:rFonts w:asciiTheme="majorBidi" w:eastAsiaTheme="minorHAnsi" w:hAnsiTheme="majorBidi" w:cstheme="majorBidi"/>
          <w:color w:val="000000"/>
          <w:sz w:val="24"/>
          <w:szCs w:val="24"/>
          <w:lang w:val="en-US" w:eastAsia="en-US"/>
        </w:rPr>
        <w:t xml:space="preserve"> and </w:t>
      </w:r>
      <w:r w:rsidRPr="00CB53EF">
        <w:rPr>
          <w:rStyle w:val="apple-style-span"/>
          <w:rFonts w:asciiTheme="majorBidi" w:eastAsiaTheme="minorHAnsi" w:hAnsiTheme="majorBidi" w:cstheme="majorBidi"/>
          <w:bCs/>
          <w:color w:val="000000"/>
          <w:sz w:val="24"/>
          <w:szCs w:val="24"/>
          <w:lang w:val="en-US" w:eastAsia="en-US"/>
        </w:rPr>
        <w:t xml:space="preserve">Michael C. Rea (New York: Oxford University Press, 2010); </w:t>
      </w:r>
      <w:r w:rsidRPr="00CB53EF">
        <w:rPr>
          <w:rFonts w:asciiTheme="majorBidi" w:eastAsiaTheme="minorHAnsi" w:hAnsiTheme="majorBidi" w:cstheme="majorBidi"/>
          <w:color w:val="000000"/>
          <w:sz w:val="24"/>
          <w:szCs w:val="24"/>
          <w:lang w:val="en-US" w:eastAsia="en-US"/>
        </w:rPr>
        <w:t xml:space="preserve">Edwin Curley, “The God of Abraham, Isaac and Jacob,” in </w:t>
      </w:r>
      <w:r w:rsidRPr="00CB53EF">
        <w:rPr>
          <w:rFonts w:asciiTheme="majorBidi" w:eastAsiaTheme="minorHAnsi" w:hAnsiTheme="majorBidi" w:cstheme="majorBidi"/>
          <w:i/>
          <w:color w:val="000000"/>
          <w:sz w:val="24"/>
          <w:szCs w:val="24"/>
          <w:lang w:val="en-US" w:eastAsia="en-US"/>
        </w:rPr>
        <w:t>Divine Evil? The Moral Character of the God of Abraham</w:t>
      </w:r>
      <w:r w:rsidRPr="00CB53EF">
        <w:rPr>
          <w:rFonts w:asciiTheme="majorBidi" w:eastAsiaTheme="minorHAnsi" w:hAnsiTheme="majorBidi" w:cstheme="majorBidi"/>
          <w:color w:val="000000"/>
          <w:sz w:val="24"/>
          <w:szCs w:val="24"/>
          <w:lang w:val="en-US" w:eastAsia="en-US"/>
        </w:rPr>
        <w:t>, eds.</w:t>
      </w:r>
      <w:r w:rsidRPr="00CB53EF">
        <w:rPr>
          <w:rStyle w:val="apple-style-span"/>
          <w:rFonts w:asciiTheme="majorBidi" w:eastAsiaTheme="minorHAnsi" w:hAnsiTheme="majorBidi" w:cstheme="majorBidi"/>
          <w:bCs/>
          <w:color w:val="000000"/>
          <w:sz w:val="24"/>
          <w:szCs w:val="24"/>
          <w:lang w:val="en-US" w:eastAsia="en-US"/>
        </w:rPr>
        <w:t xml:space="preserve"> Michael Bergmann</w:t>
      </w:r>
      <w:r w:rsidRPr="00CB53EF">
        <w:rPr>
          <w:rStyle w:val="apple-style-span"/>
          <w:rFonts w:asciiTheme="majorBidi" w:eastAsiaTheme="minorHAnsi" w:hAnsiTheme="majorBidi" w:cstheme="majorBidi"/>
          <w:color w:val="000000"/>
          <w:sz w:val="24"/>
          <w:szCs w:val="24"/>
          <w:lang w:val="en-US" w:eastAsia="en-US"/>
        </w:rPr>
        <w:t>,</w:t>
      </w:r>
      <w:r w:rsidRPr="00CB53EF">
        <w:rPr>
          <w:rStyle w:val="apple-converted-space"/>
          <w:rFonts w:asciiTheme="majorBidi" w:eastAsiaTheme="minorHAnsi" w:hAnsiTheme="majorBidi" w:cstheme="majorBidi"/>
          <w:color w:val="000000"/>
          <w:sz w:val="24"/>
          <w:szCs w:val="24"/>
          <w:lang w:val="en-US" w:eastAsia="en-US"/>
        </w:rPr>
        <w:t> </w:t>
      </w:r>
      <w:r w:rsidRPr="00CB53EF">
        <w:rPr>
          <w:rStyle w:val="apple-style-span"/>
          <w:rFonts w:asciiTheme="majorBidi" w:eastAsiaTheme="minorHAnsi" w:hAnsiTheme="majorBidi" w:cstheme="majorBidi"/>
          <w:bCs/>
          <w:color w:val="000000"/>
          <w:sz w:val="24"/>
          <w:szCs w:val="24"/>
          <w:lang w:val="en-US" w:eastAsia="en-US"/>
        </w:rPr>
        <w:t>Michael J. Murray</w:t>
      </w:r>
      <w:r w:rsidRPr="00CB53EF">
        <w:rPr>
          <w:rStyle w:val="apple-style-span"/>
          <w:rFonts w:asciiTheme="majorBidi" w:eastAsiaTheme="minorHAnsi" w:hAnsiTheme="majorBidi" w:cstheme="majorBidi"/>
          <w:color w:val="000000"/>
          <w:sz w:val="24"/>
          <w:szCs w:val="24"/>
          <w:lang w:val="en-US" w:eastAsia="en-US"/>
        </w:rPr>
        <w:t xml:space="preserve"> and </w:t>
      </w:r>
      <w:r w:rsidRPr="00CB53EF">
        <w:rPr>
          <w:rStyle w:val="apple-style-span"/>
          <w:rFonts w:asciiTheme="majorBidi" w:eastAsiaTheme="minorHAnsi" w:hAnsiTheme="majorBidi" w:cstheme="majorBidi"/>
          <w:bCs/>
          <w:color w:val="000000"/>
          <w:sz w:val="24"/>
          <w:szCs w:val="24"/>
          <w:lang w:val="en-US" w:eastAsia="en-US"/>
        </w:rPr>
        <w:t>Michael C. Rea (New York: Oxford University Press, 2010)</w:t>
      </w:r>
      <w:r w:rsidRPr="00CB53EF">
        <w:rPr>
          <w:rFonts w:asciiTheme="majorBidi" w:eastAsiaTheme="minorHAnsi" w:hAnsiTheme="majorBidi" w:cstheme="majorBidi"/>
          <w:color w:val="000000"/>
          <w:sz w:val="24"/>
          <w:szCs w:val="24"/>
          <w:lang w:val="en-US" w:eastAsia="en-US"/>
        </w:rPr>
        <w:t xml:space="preserve">; </w:t>
      </w:r>
      <w:r w:rsidRPr="00CB53EF">
        <w:rPr>
          <w:rStyle w:val="apple-style-span"/>
          <w:rFonts w:asciiTheme="majorBidi" w:eastAsiaTheme="minorHAnsi" w:hAnsiTheme="majorBidi" w:cstheme="majorBidi"/>
          <w:color w:val="000000"/>
          <w:sz w:val="24"/>
          <w:szCs w:val="24"/>
          <w:lang w:val="en-US" w:eastAsia="en-US"/>
        </w:rPr>
        <w:t xml:space="preserve">Walter </w:t>
      </w:r>
      <w:proofErr w:type="spellStart"/>
      <w:r w:rsidRPr="00CB53EF">
        <w:rPr>
          <w:rStyle w:val="apple-style-span"/>
          <w:rFonts w:asciiTheme="majorBidi" w:eastAsiaTheme="minorHAnsi" w:hAnsiTheme="majorBidi" w:cstheme="majorBidi"/>
          <w:color w:val="000000"/>
          <w:sz w:val="24"/>
          <w:szCs w:val="24"/>
          <w:lang w:val="en-US" w:eastAsia="en-US"/>
        </w:rPr>
        <w:t>Sinnott</w:t>
      </w:r>
      <w:proofErr w:type="spellEnd"/>
      <w:r w:rsidRPr="00CB53EF">
        <w:rPr>
          <w:rStyle w:val="apple-style-span"/>
          <w:rFonts w:asciiTheme="majorBidi" w:eastAsiaTheme="minorHAnsi" w:hAnsiTheme="majorBidi" w:cstheme="majorBidi"/>
          <w:color w:val="000000"/>
          <w:sz w:val="24"/>
          <w:szCs w:val="24"/>
          <w:lang w:val="en-US" w:eastAsia="en-US"/>
        </w:rPr>
        <w:t xml:space="preserve">-Armstrong, “Why Traditional Theism Cannot Provide an Adequate Foundation for Morality,” in </w:t>
      </w:r>
      <w:r w:rsidRPr="00CB53EF">
        <w:rPr>
          <w:rStyle w:val="Emphasis"/>
          <w:rFonts w:asciiTheme="majorBidi" w:eastAsiaTheme="minorHAnsi" w:hAnsiTheme="majorBidi" w:cstheme="majorBidi"/>
          <w:color w:val="000000"/>
          <w:sz w:val="24"/>
          <w:szCs w:val="24"/>
          <w:lang w:val="en-US" w:eastAsia="en-US"/>
        </w:rPr>
        <w:t xml:space="preserve">Is Goodness without God Good Enough? A Debate on Faith, Secularism and Ethics, eds. </w:t>
      </w:r>
      <w:r w:rsidRPr="00CB53EF">
        <w:rPr>
          <w:rStyle w:val="apple-style-span"/>
          <w:rFonts w:asciiTheme="majorBidi" w:eastAsiaTheme="minorHAnsi" w:hAnsiTheme="majorBidi" w:cstheme="majorBidi"/>
          <w:color w:val="000000"/>
          <w:sz w:val="24"/>
          <w:szCs w:val="24"/>
          <w:lang w:val="en-US" w:eastAsia="en-US"/>
        </w:rPr>
        <w:t xml:space="preserve">Robert K. Garcia and Nathan L. King (Lanham, MD: </w:t>
      </w:r>
      <w:proofErr w:type="spellStart"/>
      <w:r w:rsidRPr="00CB53EF">
        <w:rPr>
          <w:rStyle w:val="apple-style-span"/>
          <w:rFonts w:asciiTheme="majorBidi" w:eastAsiaTheme="minorHAnsi" w:hAnsiTheme="majorBidi" w:cstheme="majorBidi"/>
          <w:color w:val="000000"/>
          <w:sz w:val="24"/>
          <w:szCs w:val="24"/>
          <w:lang w:val="en-US" w:eastAsia="en-US"/>
        </w:rPr>
        <w:t>Rowman</w:t>
      </w:r>
      <w:proofErr w:type="spellEnd"/>
      <w:r w:rsidRPr="00CB53EF">
        <w:rPr>
          <w:rStyle w:val="apple-style-span"/>
          <w:rFonts w:asciiTheme="majorBidi" w:eastAsiaTheme="minorHAnsi" w:hAnsiTheme="majorBidi" w:cstheme="majorBidi"/>
          <w:color w:val="000000"/>
          <w:sz w:val="24"/>
          <w:szCs w:val="24"/>
          <w:lang w:val="en-US" w:eastAsia="en-US"/>
        </w:rPr>
        <w:t xml:space="preserve"> &amp; Littlefield Publishers, 2008); </w:t>
      </w:r>
      <w:r w:rsidRPr="00CB53EF">
        <w:rPr>
          <w:rFonts w:asciiTheme="majorBidi" w:eastAsiaTheme="minorHAnsi" w:hAnsiTheme="majorBidi" w:cstheme="majorBidi"/>
          <w:color w:val="000000"/>
          <w:sz w:val="24"/>
          <w:szCs w:val="24"/>
          <w:lang w:val="en-NZ" w:eastAsia="en-US"/>
        </w:rPr>
        <w:t>Louise Antony “Atheism as Perfect Piety”</w:t>
      </w:r>
      <w:r w:rsidRPr="00CB53EF">
        <w:rPr>
          <w:rStyle w:val="apple-style-span"/>
          <w:rFonts w:asciiTheme="majorBidi" w:eastAsiaTheme="minorHAnsi" w:hAnsiTheme="majorBidi" w:cstheme="majorBidi"/>
          <w:color w:val="000000"/>
          <w:sz w:val="24"/>
          <w:szCs w:val="24"/>
          <w:lang w:val="en-US" w:eastAsia="en-US"/>
        </w:rPr>
        <w:t xml:space="preserve"> in </w:t>
      </w:r>
      <w:r w:rsidRPr="00CB53EF">
        <w:rPr>
          <w:rStyle w:val="Emphasis"/>
          <w:rFonts w:asciiTheme="majorBidi" w:eastAsiaTheme="minorHAnsi" w:hAnsiTheme="majorBidi" w:cstheme="majorBidi"/>
          <w:color w:val="000000"/>
          <w:sz w:val="24"/>
          <w:szCs w:val="24"/>
          <w:lang w:val="en-US" w:eastAsia="en-US"/>
        </w:rPr>
        <w:t xml:space="preserve">Is Goodness without God Good Enough? A Debate on Faith, Secularism and Ethics, eds. </w:t>
      </w:r>
      <w:r w:rsidRPr="00CB53EF">
        <w:rPr>
          <w:rStyle w:val="apple-style-span"/>
          <w:rFonts w:asciiTheme="majorBidi" w:eastAsiaTheme="minorHAnsi" w:hAnsiTheme="majorBidi" w:cstheme="majorBidi"/>
          <w:color w:val="000000"/>
          <w:sz w:val="24"/>
          <w:szCs w:val="24"/>
          <w:lang w:val="en-US" w:eastAsia="en-US"/>
        </w:rPr>
        <w:t xml:space="preserve">Robert K. Garcia and Nathan L. King (Lanham, MD: </w:t>
      </w:r>
      <w:proofErr w:type="spellStart"/>
      <w:r w:rsidRPr="00CB53EF">
        <w:rPr>
          <w:rStyle w:val="apple-style-span"/>
          <w:rFonts w:asciiTheme="majorBidi" w:eastAsiaTheme="minorHAnsi" w:hAnsiTheme="majorBidi" w:cstheme="majorBidi"/>
          <w:color w:val="000000"/>
          <w:sz w:val="24"/>
          <w:szCs w:val="24"/>
          <w:lang w:val="en-US" w:eastAsia="en-US"/>
        </w:rPr>
        <w:t>Rowman</w:t>
      </w:r>
      <w:proofErr w:type="spellEnd"/>
      <w:r w:rsidRPr="00CB53EF">
        <w:rPr>
          <w:rStyle w:val="apple-style-span"/>
          <w:rFonts w:asciiTheme="majorBidi" w:eastAsiaTheme="minorHAnsi" w:hAnsiTheme="majorBidi" w:cstheme="majorBidi"/>
          <w:color w:val="000000"/>
          <w:sz w:val="24"/>
          <w:szCs w:val="24"/>
          <w:lang w:val="en-US" w:eastAsia="en-US"/>
        </w:rPr>
        <w:t xml:space="preserve"> &amp; Littlefield Publishers, 2008).</w:t>
      </w:r>
    </w:p>
  </w:footnote>
  <w:footnote w:id="2">
    <w:p w:rsidR="001A6C34" w:rsidRPr="00973AED" w:rsidRDefault="001A6C34" w:rsidP="001A6C34">
      <w:pPr>
        <w:pStyle w:val="FootnoteText"/>
        <w:rPr>
          <w:rFonts w:ascii="Times New Roman" w:hAnsi="Times New Roman"/>
          <w:color w:val="000000"/>
          <w:sz w:val="24"/>
          <w:szCs w:val="24"/>
          <w:lang w:val="en-NZ"/>
        </w:rPr>
      </w:pPr>
      <w:r w:rsidRPr="00CB53EF">
        <w:rPr>
          <w:rStyle w:val="FootnoteReference"/>
          <w:rFonts w:asciiTheme="majorBidi" w:hAnsiTheme="majorBidi" w:cstheme="majorBidi"/>
          <w:color w:val="000000"/>
          <w:sz w:val="24"/>
          <w:szCs w:val="24"/>
        </w:rPr>
        <w:footnoteRef/>
      </w:r>
      <w:r w:rsidRPr="00CB53EF">
        <w:rPr>
          <w:rStyle w:val="apple-style-span"/>
          <w:rFonts w:asciiTheme="majorBidi" w:hAnsiTheme="majorBidi" w:cstheme="majorBidi"/>
          <w:color w:val="000000"/>
          <w:sz w:val="24"/>
          <w:szCs w:val="24"/>
        </w:rPr>
        <w:t xml:space="preserve">Alvin </w:t>
      </w:r>
      <w:proofErr w:type="spellStart"/>
      <w:r w:rsidRPr="00CB53EF">
        <w:rPr>
          <w:rStyle w:val="apple-style-span"/>
          <w:rFonts w:asciiTheme="majorBidi" w:hAnsiTheme="majorBidi" w:cstheme="majorBidi"/>
          <w:color w:val="000000"/>
          <w:sz w:val="24"/>
          <w:szCs w:val="24"/>
        </w:rPr>
        <w:t>Plantinga</w:t>
      </w:r>
      <w:proofErr w:type="spellEnd"/>
      <w:r w:rsidRPr="00CB53EF">
        <w:rPr>
          <w:rStyle w:val="apple-style-span"/>
          <w:rFonts w:asciiTheme="majorBidi" w:hAnsiTheme="majorBidi" w:cstheme="majorBidi"/>
          <w:color w:val="000000"/>
          <w:sz w:val="24"/>
          <w:szCs w:val="24"/>
        </w:rPr>
        <w:t xml:space="preserve">, “Comments on Evan </w:t>
      </w:r>
      <w:proofErr w:type="spellStart"/>
      <w:r w:rsidRPr="00CB53EF">
        <w:rPr>
          <w:rStyle w:val="apple-style-span"/>
          <w:rFonts w:asciiTheme="majorBidi" w:hAnsiTheme="majorBidi" w:cstheme="majorBidi"/>
          <w:color w:val="000000"/>
          <w:sz w:val="24"/>
          <w:szCs w:val="24"/>
        </w:rPr>
        <w:t>Fales</w:t>
      </w:r>
      <w:proofErr w:type="spellEnd"/>
      <w:r w:rsidRPr="00CB53EF">
        <w:rPr>
          <w:rStyle w:val="apple-style-span"/>
          <w:rFonts w:asciiTheme="majorBidi" w:hAnsiTheme="majorBidi" w:cstheme="majorBidi"/>
          <w:color w:val="000000"/>
          <w:sz w:val="24"/>
          <w:szCs w:val="24"/>
        </w:rPr>
        <w:t>’ Satanic Verses: Moral Chaos in Holy Writ” a paper presented to</w:t>
      </w:r>
      <w:r w:rsidRPr="00CB53EF">
        <w:rPr>
          <w:rStyle w:val="apple-converted-space"/>
          <w:rFonts w:asciiTheme="majorBidi" w:hAnsiTheme="majorBidi" w:cstheme="majorBidi"/>
          <w:b/>
          <w:bCs/>
          <w:color w:val="000000"/>
          <w:sz w:val="24"/>
          <w:szCs w:val="24"/>
        </w:rPr>
        <w:t> </w:t>
      </w:r>
      <w:r w:rsidRPr="00CB53EF">
        <w:rPr>
          <w:rStyle w:val="Strong"/>
          <w:rFonts w:asciiTheme="majorBidi" w:hAnsiTheme="majorBidi" w:cstheme="majorBidi"/>
          <w:color w:val="000000"/>
          <w:sz w:val="24"/>
          <w:szCs w:val="24"/>
        </w:rPr>
        <w:t>“</w:t>
      </w:r>
      <w:r w:rsidRPr="00CB53EF">
        <w:rPr>
          <w:rStyle w:val="apple-style-span"/>
          <w:rFonts w:asciiTheme="majorBidi" w:hAnsiTheme="majorBidi" w:cstheme="majorBidi"/>
          <w:color w:val="000000"/>
          <w:sz w:val="24"/>
          <w:szCs w:val="24"/>
        </w:rPr>
        <w:t>My Ways Are Not Your Ways: The Character of the God of the Hebrew Bible” Conference at the Center for Philosophy of Religion, University of Notre Dame, Friday 11 September 2009 at &lt;</w:t>
      </w:r>
      <w:hyperlink r:id="rId1" w:history="1">
        <w:r w:rsidRPr="00CB53EF">
          <w:rPr>
            <w:rStyle w:val="Hyperlink"/>
            <w:rFonts w:asciiTheme="majorBidi" w:hAnsiTheme="majorBidi" w:cstheme="majorBidi"/>
            <w:color w:val="000000"/>
            <w:sz w:val="24"/>
            <w:szCs w:val="24"/>
          </w:rPr>
          <w:t>http://www.nd.edu/~cprelig/conferences/documents/HBprogram_006.pdf</w:t>
        </w:r>
      </w:hyperlink>
      <w:r w:rsidRPr="00CB53EF">
        <w:rPr>
          <w:rStyle w:val="apple-style-span"/>
          <w:rFonts w:asciiTheme="majorBidi" w:hAnsiTheme="majorBidi" w:cstheme="majorBidi"/>
          <w:color w:val="000000"/>
          <w:sz w:val="24"/>
          <w:szCs w:val="24"/>
        </w:rPr>
        <w:t>&gt; accessed 5 Jan 2010; Paul Copan, “Yahweh Wars and the Canaanites: Divinely Mandated Genocide or Corporate Capital Punishment”</w:t>
      </w:r>
      <w:r w:rsidRPr="00CB53EF">
        <w:rPr>
          <w:rFonts w:asciiTheme="majorBidi" w:hAnsiTheme="majorBidi" w:cstheme="majorBidi"/>
          <w:i/>
          <w:iCs/>
          <w:color w:val="000000"/>
          <w:sz w:val="24"/>
          <w:szCs w:val="24"/>
        </w:rPr>
        <w:t xml:space="preserve"> </w:t>
      </w:r>
      <w:proofErr w:type="spellStart"/>
      <w:r w:rsidRPr="00CB53EF">
        <w:rPr>
          <w:rFonts w:asciiTheme="majorBidi" w:hAnsiTheme="majorBidi" w:cstheme="majorBidi"/>
          <w:i/>
          <w:iCs/>
          <w:color w:val="000000"/>
          <w:sz w:val="24"/>
          <w:szCs w:val="24"/>
        </w:rPr>
        <w:t>Philosophia</w:t>
      </w:r>
      <w:proofErr w:type="spellEnd"/>
      <w:r w:rsidRPr="00CB53EF">
        <w:rPr>
          <w:rFonts w:asciiTheme="majorBidi" w:hAnsiTheme="majorBidi" w:cstheme="majorBidi"/>
          <w:i/>
          <w:iCs/>
          <w:color w:val="000000"/>
          <w:sz w:val="24"/>
          <w:szCs w:val="24"/>
        </w:rPr>
        <w:t xml:space="preserve"> Christi</w:t>
      </w:r>
      <w:r w:rsidRPr="00CB53EF">
        <w:rPr>
          <w:rStyle w:val="apple-style-span"/>
          <w:rFonts w:asciiTheme="majorBidi" w:hAnsiTheme="majorBidi" w:cstheme="majorBidi"/>
          <w:color w:val="000000"/>
          <w:sz w:val="24"/>
          <w:szCs w:val="24"/>
        </w:rPr>
        <w:t xml:space="preserve"> </w:t>
      </w:r>
      <w:proofErr w:type="spellStart"/>
      <w:r w:rsidRPr="00CB53EF">
        <w:rPr>
          <w:rStyle w:val="apple-style-span"/>
          <w:rFonts w:asciiTheme="majorBidi" w:hAnsiTheme="majorBidi" w:cstheme="majorBidi"/>
          <w:color w:val="000000"/>
          <w:sz w:val="24"/>
          <w:szCs w:val="24"/>
        </w:rPr>
        <w:t>n.s</w:t>
      </w:r>
      <w:proofErr w:type="spellEnd"/>
      <w:r w:rsidRPr="00CB53EF">
        <w:rPr>
          <w:rStyle w:val="apple-style-span"/>
          <w:rFonts w:asciiTheme="majorBidi" w:hAnsiTheme="majorBidi" w:cstheme="majorBidi"/>
          <w:color w:val="000000"/>
          <w:sz w:val="24"/>
          <w:szCs w:val="24"/>
        </w:rPr>
        <w:t xml:space="preserve">. </w:t>
      </w:r>
      <w:r w:rsidRPr="00CB53EF">
        <w:rPr>
          <w:rFonts w:asciiTheme="majorBidi" w:hAnsiTheme="majorBidi" w:cstheme="majorBidi"/>
          <w:color w:val="000000"/>
          <w:sz w:val="24"/>
          <w:szCs w:val="24"/>
        </w:rPr>
        <w:t xml:space="preserve">11:1 (2009); and </w:t>
      </w:r>
      <w:r w:rsidRPr="00CB53EF">
        <w:rPr>
          <w:rFonts w:asciiTheme="majorBidi" w:hAnsiTheme="majorBidi" w:cstheme="majorBidi"/>
          <w:i/>
          <w:color w:val="000000"/>
          <w:sz w:val="24"/>
          <w:szCs w:val="24"/>
        </w:rPr>
        <w:t>Is</w:t>
      </w:r>
      <w:r w:rsidRPr="00CB53EF">
        <w:rPr>
          <w:rFonts w:asciiTheme="majorBidi" w:hAnsiTheme="majorBidi" w:cstheme="majorBidi"/>
          <w:color w:val="000000"/>
          <w:sz w:val="24"/>
          <w:szCs w:val="24"/>
        </w:rPr>
        <w:t xml:space="preserve"> </w:t>
      </w:r>
      <w:r w:rsidRPr="00CB53EF">
        <w:rPr>
          <w:rFonts w:asciiTheme="majorBidi" w:hAnsiTheme="majorBidi" w:cstheme="majorBidi"/>
          <w:i/>
          <w:color w:val="000000"/>
          <w:sz w:val="24"/>
          <w:szCs w:val="24"/>
        </w:rPr>
        <w:t>God a Moral Monster? Making Sense of the Old Testament</w:t>
      </w:r>
      <w:r w:rsidRPr="00CB53EF">
        <w:rPr>
          <w:rFonts w:asciiTheme="majorBidi" w:hAnsiTheme="majorBidi" w:cstheme="majorBidi"/>
          <w:color w:val="000000"/>
          <w:sz w:val="24"/>
          <w:szCs w:val="24"/>
        </w:rPr>
        <w:t xml:space="preserve"> (Grand Rapids: Baker Books: 2011); Christopher Wright, </w:t>
      </w:r>
      <w:r w:rsidRPr="00CB53EF">
        <w:rPr>
          <w:rFonts w:asciiTheme="majorBidi" w:hAnsiTheme="majorBidi" w:cstheme="majorBidi"/>
          <w:i/>
          <w:color w:val="000000"/>
          <w:sz w:val="24"/>
          <w:szCs w:val="24"/>
        </w:rPr>
        <w:t>The God I Don’t Understand: Reflections on Tough Questions of Faith</w:t>
      </w:r>
      <w:r w:rsidRPr="00CB53EF">
        <w:rPr>
          <w:rFonts w:asciiTheme="majorBidi" w:hAnsiTheme="majorBidi" w:cstheme="majorBidi"/>
          <w:color w:val="000000"/>
          <w:sz w:val="24"/>
          <w:szCs w:val="24"/>
        </w:rPr>
        <w:t xml:space="preserve"> (Grand Rapids, MI: Zondervan, 2008), 87-88</w:t>
      </w:r>
      <w:r w:rsidRPr="00CB53EF">
        <w:rPr>
          <w:rFonts w:asciiTheme="majorBidi" w:hAnsiTheme="majorBidi" w:cstheme="majorBidi"/>
          <w:b/>
          <w:color w:val="000000"/>
          <w:sz w:val="24"/>
          <w:szCs w:val="24"/>
        </w:rPr>
        <w:t xml:space="preserve">.  </w:t>
      </w:r>
      <w:r w:rsidRPr="00CB53EF">
        <w:rPr>
          <w:rFonts w:asciiTheme="majorBidi" w:hAnsiTheme="majorBidi" w:cstheme="majorBidi"/>
          <w:color w:val="000000"/>
          <w:sz w:val="24"/>
          <w:szCs w:val="24"/>
        </w:rPr>
        <w:t>In his latest discussion on the issue William Lane Craig states, “</w:t>
      </w:r>
      <w:r w:rsidRPr="00CB53EF">
        <w:rPr>
          <w:rStyle w:val="apple-style-span"/>
          <w:rFonts w:asciiTheme="majorBidi" w:hAnsiTheme="majorBidi" w:cstheme="majorBidi"/>
          <w:color w:val="000000"/>
          <w:sz w:val="24"/>
          <w:szCs w:val="24"/>
        </w:rPr>
        <w:t>I've come to appreciate that the object of God's command to the Israelis was not the slaughter of the Canaanites, as is often imagined. The command rather was primarily</w:t>
      </w:r>
      <w:r w:rsidRPr="00CB53EF">
        <w:rPr>
          <w:rStyle w:val="apple-converted-space"/>
          <w:rFonts w:asciiTheme="majorBidi" w:hAnsiTheme="majorBidi" w:cstheme="majorBidi"/>
          <w:color w:val="000000"/>
          <w:sz w:val="24"/>
          <w:szCs w:val="24"/>
        </w:rPr>
        <w:t> </w:t>
      </w:r>
      <w:r w:rsidRPr="00CB53EF">
        <w:rPr>
          <w:rStyle w:val="Emphasis"/>
          <w:rFonts w:asciiTheme="majorBidi" w:hAnsiTheme="majorBidi" w:cstheme="majorBidi"/>
          <w:color w:val="000000"/>
          <w:sz w:val="24"/>
          <w:szCs w:val="24"/>
        </w:rPr>
        <w:t>to drive them out of the land</w:t>
      </w:r>
      <w:r w:rsidRPr="00CB53EF">
        <w:rPr>
          <w:rStyle w:val="apple-style-span"/>
          <w:rFonts w:asciiTheme="majorBidi" w:hAnsiTheme="majorBidi" w:cstheme="majorBidi"/>
          <w:color w:val="000000"/>
          <w:sz w:val="24"/>
          <w:szCs w:val="24"/>
        </w:rPr>
        <w:t>. The judgment upon these Canaanite kingdoms was to dispossess them of their land and thus destroy them as kingdoms.</w:t>
      </w:r>
      <w:r w:rsidRPr="00CB53EF">
        <w:rPr>
          <w:rStyle w:val="apple-converted-space"/>
          <w:rFonts w:asciiTheme="majorBidi" w:hAnsiTheme="majorBidi" w:cstheme="majorBidi"/>
          <w:color w:val="000000"/>
          <w:sz w:val="24"/>
          <w:szCs w:val="24"/>
        </w:rPr>
        <w:t>” See “Question 147: Divine Command Morality and Voluntarism” at &lt;</w:t>
      </w:r>
      <w:hyperlink r:id="rId2" w:history="1">
        <w:r w:rsidRPr="00CB53EF">
          <w:rPr>
            <w:rStyle w:val="Hyperlink"/>
            <w:rFonts w:asciiTheme="majorBidi" w:hAnsiTheme="majorBidi" w:cstheme="majorBidi"/>
            <w:color w:val="000000"/>
            <w:sz w:val="24"/>
            <w:szCs w:val="24"/>
          </w:rPr>
          <w:t>http://www.reasonablefaith.org/site/News2?page=NewsArticle&amp;id=7911</w:t>
        </w:r>
      </w:hyperlink>
      <w:r w:rsidRPr="00CB53EF">
        <w:rPr>
          <w:rFonts w:asciiTheme="majorBidi" w:hAnsiTheme="majorBidi" w:cstheme="majorBidi"/>
          <w:color w:val="000000"/>
          <w:sz w:val="24"/>
          <w:szCs w:val="24"/>
        </w:rPr>
        <w:t xml:space="preserve">&gt;. </w:t>
      </w:r>
      <w:proofErr w:type="gramStart"/>
      <w:r w:rsidRPr="00CB53EF">
        <w:rPr>
          <w:rFonts w:asciiTheme="majorBidi" w:hAnsiTheme="majorBidi" w:cstheme="majorBidi"/>
          <w:color w:val="000000"/>
          <w:sz w:val="24"/>
          <w:szCs w:val="24"/>
        </w:rPr>
        <w:t>Accessed October 29, 2010.</w:t>
      </w:r>
      <w:proofErr w:type="gramEnd"/>
    </w:p>
  </w:footnote>
  <w:footnote w:id="3">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Ibid.</w:t>
      </w:r>
    </w:p>
  </w:footnote>
  <w:footnote w:id="4">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w:t>
      </w:r>
      <w:r w:rsidRPr="00973AED">
        <w:rPr>
          <w:rFonts w:ascii="Times New Roman" w:hAnsi="Times New Roman"/>
          <w:color w:val="000000"/>
          <w:sz w:val="24"/>
          <w:szCs w:val="24"/>
        </w:rPr>
        <w:t xml:space="preserve">Nicholas Wolterstorff, “Reading Joshua,” in </w:t>
      </w:r>
      <w:r w:rsidRPr="00973AED">
        <w:rPr>
          <w:rFonts w:ascii="Times New Roman" w:hAnsi="Times New Roman"/>
          <w:i/>
          <w:color w:val="000000"/>
          <w:sz w:val="24"/>
          <w:szCs w:val="24"/>
        </w:rPr>
        <w:t>Divine Evil? The Moral Character of the God of Abraham</w:t>
      </w:r>
      <w:r w:rsidRPr="00973AED">
        <w:rPr>
          <w:rFonts w:ascii="Times New Roman" w:hAnsi="Times New Roman"/>
          <w:color w:val="000000"/>
          <w:sz w:val="24"/>
          <w:szCs w:val="24"/>
        </w:rPr>
        <w:t>, eds.</w:t>
      </w:r>
      <w:r w:rsidRPr="00973AED">
        <w:rPr>
          <w:rStyle w:val="apple-style-span"/>
          <w:rFonts w:ascii="Times New Roman" w:hAnsi="Times New Roman"/>
          <w:bCs/>
          <w:color w:val="000000"/>
          <w:sz w:val="24"/>
          <w:szCs w:val="24"/>
        </w:rPr>
        <w:t xml:space="preserve"> Michael Bergmann</w:t>
      </w:r>
      <w:r w:rsidRPr="00973AED">
        <w:rPr>
          <w:rStyle w:val="apple-style-span"/>
          <w:rFonts w:ascii="Times New Roman" w:hAnsi="Times New Roman"/>
          <w:color w:val="000000"/>
          <w:sz w:val="24"/>
          <w:szCs w:val="24"/>
        </w:rPr>
        <w:t>,</w:t>
      </w:r>
      <w:r w:rsidRPr="00973AED">
        <w:rPr>
          <w:rStyle w:val="apple-converted-space"/>
          <w:rFonts w:ascii="Times New Roman" w:hAnsi="Times New Roman"/>
          <w:color w:val="000000"/>
          <w:sz w:val="24"/>
          <w:szCs w:val="24"/>
        </w:rPr>
        <w:t> </w:t>
      </w:r>
      <w:r w:rsidRPr="00973AED">
        <w:rPr>
          <w:rStyle w:val="apple-style-span"/>
          <w:rFonts w:ascii="Times New Roman" w:hAnsi="Times New Roman"/>
          <w:bCs/>
          <w:color w:val="000000"/>
          <w:sz w:val="24"/>
          <w:szCs w:val="24"/>
        </w:rPr>
        <w:t>Michael J. Murray</w:t>
      </w:r>
      <w:r w:rsidRPr="00973AED">
        <w:rPr>
          <w:rStyle w:val="apple-style-span"/>
          <w:rFonts w:ascii="Times New Roman" w:hAnsi="Times New Roman"/>
          <w:color w:val="000000"/>
          <w:sz w:val="24"/>
          <w:szCs w:val="24"/>
        </w:rPr>
        <w:t xml:space="preserve"> and </w:t>
      </w:r>
      <w:r w:rsidRPr="00973AED">
        <w:rPr>
          <w:rStyle w:val="apple-style-span"/>
          <w:rFonts w:ascii="Times New Roman" w:hAnsi="Times New Roman"/>
          <w:bCs/>
          <w:color w:val="000000"/>
          <w:sz w:val="24"/>
          <w:szCs w:val="24"/>
        </w:rPr>
        <w:t>Michael C. Rea (New York: Oxford University Press, 2010), 252-53.</w:t>
      </w:r>
    </w:p>
  </w:footnote>
  <w:footnote w:id="5">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Ibid, 249.</w:t>
      </w:r>
      <w:proofErr w:type="gramEnd"/>
    </w:p>
  </w:footnote>
  <w:footnote w:id="6">
    <w:p w:rsidR="001A6C34" w:rsidRPr="00973AED" w:rsidRDefault="001A6C34" w:rsidP="001A6C34">
      <w:pPr>
        <w:pStyle w:val="FootnoteText"/>
        <w:rPr>
          <w:rFonts w:ascii="Times New Roman" w:hAnsi="Times New Roman"/>
          <w:sz w:val="24"/>
          <w:szCs w:val="24"/>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Note this phrase “the hill country of Ephraim” in Joshua (17:15; 19:50; 20:7; 24:30; 24:33), then in Judges </w:t>
      </w:r>
      <w:r w:rsidRPr="00973AED">
        <w:rPr>
          <w:rFonts w:ascii="Times New Roman" w:hAnsi="Times New Roman"/>
          <w:b/>
          <w:sz w:val="24"/>
          <w:szCs w:val="24"/>
        </w:rPr>
        <w:t>(</w:t>
      </w:r>
      <w:r w:rsidRPr="00973AED">
        <w:rPr>
          <w:rFonts w:ascii="Times New Roman" w:hAnsi="Times New Roman"/>
          <w:sz w:val="24"/>
          <w:szCs w:val="24"/>
        </w:rPr>
        <w:t>2:9; 3:27; 4:5; 7:24; 10:1; 17:1; 17:8; 18:2, 13; 19:1, 16, 18), and then in 1 Samuel (1:1; 9:4).  The linkage of Judges 17:1 and 19:1 with 1 Sam. 1:1 is connected by the general threefold pattern of (a) “There was a (certain) man…</w:t>
      </w:r>
      <w:proofErr w:type="gramStart"/>
      <w:r w:rsidRPr="00973AED">
        <w:rPr>
          <w:rFonts w:ascii="Times New Roman" w:hAnsi="Times New Roman"/>
          <w:sz w:val="24"/>
          <w:szCs w:val="24"/>
        </w:rPr>
        <w:t>”;</w:t>
      </w:r>
      <w:proofErr w:type="gramEnd"/>
      <w:r w:rsidRPr="00973AED">
        <w:rPr>
          <w:rFonts w:ascii="Times New Roman" w:hAnsi="Times New Roman"/>
          <w:sz w:val="24"/>
          <w:szCs w:val="24"/>
        </w:rPr>
        <w:t xml:space="preserve"> (b) “from the hill country of Ephraim”; (c) “and his name was _______.” </w:t>
      </w:r>
    </w:p>
    <w:p w:rsidR="001A6C34" w:rsidRPr="00973AED" w:rsidRDefault="001A6C34" w:rsidP="001A6C34">
      <w:pPr>
        <w:pStyle w:val="FootnoteText"/>
        <w:ind w:firstLine="720"/>
        <w:rPr>
          <w:rFonts w:ascii="Times New Roman" w:hAnsi="Times New Roman"/>
          <w:sz w:val="24"/>
          <w:szCs w:val="24"/>
        </w:rPr>
      </w:pPr>
      <w:r w:rsidRPr="00973AED">
        <w:rPr>
          <w:rFonts w:ascii="Times New Roman" w:hAnsi="Times New Roman"/>
          <w:sz w:val="24"/>
          <w:szCs w:val="24"/>
        </w:rPr>
        <w:t>As mentioned</w:t>
      </w:r>
      <w:r>
        <w:rPr>
          <w:rFonts w:ascii="Times New Roman" w:hAnsi="Times New Roman"/>
          <w:sz w:val="24"/>
          <w:szCs w:val="24"/>
        </w:rPr>
        <w:t xml:space="preserve"> in the text, Joshua 24:28-31</w:t>
      </w:r>
      <w:r w:rsidRPr="00973AED">
        <w:rPr>
          <w:rFonts w:ascii="Times New Roman" w:hAnsi="Times New Roman"/>
          <w:sz w:val="24"/>
          <w:szCs w:val="24"/>
        </w:rPr>
        <w:t xml:space="preserve"> mentions Joshua’s death and burial place at </w:t>
      </w:r>
      <w:proofErr w:type="spellStart"/>
      <w:r w:rsidRPr="00973AED">
        <w:rPr>
          <w:rFonts w:ascii="Times New Roman" w:hAnsi="Times New Roman"/>
          <w:sz w:val="24"/>
          <w:szCs w:val="24"/>
        </w:rPr>
        <w:t>Timnath-serah</w:t>
      </w:r>
      <w:proofErr w:type="spellEnd"/>
      <w:r w:rsidRPr="00973AED">
        <w:rPr>
          <w:rFonts w:ascii="Times New Roman" w:hAnsi="Times New Roman"/>
          <w:sz w:val="24"/>
          <w:szCs w:val="24"/>
        </w:rPr>
        <w:t xml:space="preserve"> “in the hill country of Ephraim,” and then Judges 2:6-9 refers to Joshua’s death and burial place at </w:t>
      </w:r>
      <w:proofErr w:type="spellStart"/>
      <w:r w:rsidRPr="00973AED">
        <w:rPr>
          <w:rFonts w:ascii="Times New Roman" w:hAnsi="Times New Roman"/>
          <w:sz w:val="24"/>
          <w:szCs w:val="24"/>
        </w:rPr>
        <w:t>Timnath-heres</w:t>
      </w:r>
      <w:proofErr w:type="spellEnd"/>
      <w:r w:rsidRPr="00973AED">
        <w:rPr>
          <w:rFonts w:ascii="Times New Roman" w:hAnsi="Times New Roman"/>
          <w:sz w:val="24"/>
          <w:szCs w:val="24"/>
        </w:rPr>
        <w:t xml:space="preserve"> “in the hill country of Ephraim. That is, Joshua and Judges are literarily connected in their mention of Joshua’s (a) death and (b) burial.  (a) Both books state that “</w:t>
      </w:r>
      <w:r w:rsidRPr="00973AED">
        <w:rPr>
          <w:rFonts w:ascii="Times New Roman" w:hAnsi="Times New Roman"/>
          <w:sz w:val="24"/>
          <w:szCs w:val="24"/>
          <w:lang w:eastAsia="en-US" w:bidi="he-IL"/>
        </w:rPr>
        <w:t xml:space="preserve">Joshua the son of Nun, the servant of the </w:t>
      </w:r>
      <w:r w:rsidRPr="00973AED">
        <w:rPr>
          <w:rFonts w:ascii="Times New Roman" w:hAnsi="Times New Roman"/>
          <w:smallCaps/>
          <w:sz w:val="24"/>
          <w:szCs w:val="24"/>
          <w:lang w:eastAsia="en-US" w:bidi="he-IL"/>
        </w:rPr>
        <w:t>Lord</w:t>
      </w:r>
      <w:r w:rsidRPr="00973AED">
        <w:rPr>
          <w:rFonts w:ascii="Times New Roman" w:hAnsi="Times New Roman"/>
          <w:sz w:val="24"/>
          <w:szCs w:val="24"/>
          <w:lang w:eastAsia="en-US" w:bidi="he-IL"/>
        </w:rPr>
        <w:t xml:space="preserve">, died” at the age of “one hundred and ten” (Josh. 24:29; Judg. 2:8).  (b) Then a deliberate literary connection is made on the burial place of Joshua, using of the Hebrew letter-substitution cipher known as </w:t>
      </w:r>
      <w:proofErr w:type="spellStart"/>
      <w:r w:rsidRPr="00973AED">
        <w:rPr>
          <w:rFonts w:ascii="Times New Roman" w:hAnsi="Times New Roman"/>
          <w:i/>
          <w:sz w:val="24"/>
          <w:szCs w:val="24"/>
          <w:lang w:eastAsia="en-US" w:bidi="he-IL"/>
        </w:rPr>
        <w:t>atbash</w:t>
      </w:r>
      <w:proofErr w:type="spellEnd"/>
      <w:r w:rsidRPr="00973AED">
        <w:rPr>
          <w:rFonts w:ascii="Times New Roman" w:hAnsi="Times New Roman"/>
          <w:sz w:val="24"/>
          <w:szCs w:val="24"/>
          <w:lang w:eastAsia="en-US" w:bidi="he-IL"/>
        </w:rPr>
        <w:t xml:space="preserve">, in this case reversing the first and last consonants of the burial place from </w:t>
      </w:r>
      <w:proofErr w:type="spellStart"/>
      <w:r w:rsidRPr="00973AED">
        <w:rPr>
          <w:rFonts w:ascii="Times New Roman" w:hAnsi="Times New Roman"/>
          <w:sz w:val="24"/>
          <w:szCs w:val="24"/>
          <w:lang w:eastAsia="en-US" w:bidi="he-IL"/>
        </w:rPr>
        <w:t>from</w:t>
      </w:r>
      <w:proofErr w:type="spellEnd"/>
      <w:r w:rsidRPr="00973AED">
        <w:rPr>
          <w:rFonts w:ascii="Times New Roman" w:hAnsi="Times New Roman"/>
          <w:sz w:val="24"/>
          <w:szCs w:val="24"/>
          <w:lang w:eastAsia="en-US" w:bidi="he-IL"/>
        </w:rPr>
        <w:t xml:space="preserve"> “-</w:t>
      </w:r>
      <w:proofErr w:type="spellStart"/>
      <w:r w:rsidRPr="00973AED">
        <w:rPr>
          <w:rFonts w:ascii="Times New Roman" w:hAnsi="Times New Roman"/>
          <w:i/>
          <w:sz w:val="24"/>
          <w:szCs w:val="24"/>
          <w:lang w:eastAsia="en-US" w:bidi="he-IL"/>
        </w:rPr>
        <w:t>serah</w:t>
      </w:r>
      <w:proofErr w:type="spellEnd"/>
      <w:r w:rsidRPr="00973AED">
        <w:rPr>
          <w:rFonts w:ascii="Times New Roman" w:hAnsi="Times New Roman"/>
          <w:sz w:val="24"/>
          <w:szCs w:val="24"/>
          <w:lang w:eastAsia="en-US" w:bidi="he-IL"/>
        </w:rPr>
        <w:t>” to “-</w:t>
      </w:r>
      <w:proofErr w:type="spellStart"/>
      <w:r w:rsidRPr="00973AED">
        <w:rPr>
          <w:rFonts w:ascii="Times New Roman" w:hAnsi="Times New Roman"/>
          <w:i/>
          <w:sz w:val="24"/>
          <w:szCs w:val="24"/>
          <w:lang w:eastAsia="en-US" w:bidi="he-IL"/>
        </w:rPr>
        <w:t>heres</w:t>
      </w:r>
      <w:proofErr w:type="spellEnd"/>
      <w:r w:rsidRPr="00973AED">
        <w:rPr>
          <w:rFonts w:ascii="Times New Roman" w:hAnsi="Times New Roman"/>
          <w:sz w:val="24"/>
          <w:szCs w:val="24"/>
          <w:lang w:eastAsia="en-US" w:bidi="he-IL"/>
        </w:rPr>
        <w:t xml:space="preserve">.”  Compare “they buried him in the border of his inheritance in </w:t>
      </w:r>
      <w:proofErr w:type="spellStart"/>
      <w:r w:rsidRPr="00973AED">
        <w:rPr>
          <w:rFonts w:ascii="Times New Roman" w:hAnsi="Times New Roman"/>
          <w:i/>
          <w:sz w:val="24"/>
          <w:szCs w:val="24"/>
          <w:lang w:eastAsia="en-US" w:bidi="he-IL"/>
        </w:rPr>
        <w:t>Timnathserah</w:t>
      </w:r>
      <w:proofErr w:type="spellEnd"/>
      <w:r w:rsidRPr="00973AED">
        <w:rPr>
          <w:rFonts w:ascii="Times New Roman" w:hAnsi="Times New Roman"/>
          <w:sz w:val="24"/>
          <w:szCs w:val="24"/>
          <w:lang w:eastAsia="en-US" w:bidi="he-IL"/>
        </w:rPr>
        <w:t xml:space="preserve">, which </w:t>
      </w:r>
      <w:r w:rsidRPr="00973AED">
        <w:rPr>
          <w:rFonts w:ascii="Times New Roman" w:hAnsi="Times New Roman"/>
          <w:i/>
          <w:sz w:val="24"/>
          <w:szCs w:val="24"/>
          <w:lang w:eastAsia="en-US" w:bidi="he-IL"/>
        </w:rPr>
        <w:t xml:space="preserve">is </w:t>
      </w:r>
      <w:r w:rsidRPr="00973AED">
        <w:rPr>
          <w:rFonts w:ascii="Times New Roman" w:hAnsi="Times New Roman"/>
          <w:sz w:val="24"/>
          <w:szCs w:val="24"/>
          <w:lang w:eastAsia="en-US" w:bidi="he-IL"/>
        </w:rPr>
        <w:t xml:space="preserve">in mount Ephraim, on the north side of the hill of </w:t>
      </w:r>
      <w:proofErr w:type="spellStart"/>
      <w:r w:rsidRPr="00973AED">
        <w:rPr>
          <w:rFonts w:ascii="Times New Roman" w:hAnsi="Times New Roman"/>
          <w:sz w:val="24"/>
          <w:szCs w:val="24"/>
          <w:lang w:eastAsia="en-US" w:bidi="he-IL"/>
        </w:rPr>
        <w:t>Gaash</w:t>
      </w:r>
      <w:proofErr w:type="spellEnd"/>
      <w:r w:rsidRPr="00973AED">
        <w:rPr>
          <w:rFonts w:ascii="Times New Roman" w:hAnsi="Times New Roman"/>
          <w:sz w:val="24"/>
          <w:szCs w:val="24"/>
          <w:lang w:eastAsia="en-US" w:bidi="he-IL"/>
        </w:rPr>
        <w:t xml:space="preserve">” (Josh. 24:30, NASB, my emphasis) with “they buried him in the territory of his inheritance in </w:t>
      </w:r>
      <w:proofErr w:type="spellStart"/>
      <w:r w:rsidRPr="00973AED">
        <w:rPr>
          <w:rFonts w:ascii="Times New Roman" w:hAnsi="Times New Roman"/>
          <w:i/>
          <w:sz w:val="24"/>
          <w:szCs w:val="24"/>
          <w:lang w:eastAsia="en-US" w:bidi="he-IL"/>
        </w:rPr>
        <w:t>Timnath-heres</w:t>
      </w:r>
      <w:proofErr w:type="spellEnd"/>
      <w:r w:rsidRPr="00973AED">
        <w:rPr>
          <w:rFonts w:ascii="Times New Roman" w:hAnsi="Times New Roman"/>
          <w:sz w:val="24"/>
          <w:szCs w:val="24"/>
          <w:lang w:eastAsia="en-US" w:bidi="he-IL"/>
        </w:rPr>
        <w:t xml:space="preserve">, in the hill country of Ephraim, north of Mount </w:t>
      </w:r>
      <w:proofErr w:type="spellStart"/>
      <w:r w:rsidRPr="00973AED">
        <w:rPr>
          <w:rFonts w:ascii="Times New Roman" w:hAnsi="Times New Roman"/>
          <w:sz w:val="24"/>
          <w:szCs w:val="24"/>
          <w:lang w:eastAsia="en-US" w:bidi="he-IL"/>
        </w:rPr>
        <w:t>Gaash</w:t>
      </w:r>
      <w:proofErr w:type="spellEnd"/>
      <w:r w:rsidRPr="00973AED">
        <w:rPr>
          <w:rFonts w:ascii="Times New Roman" w:hAnsi="Times New Roman"/>
          <w:sz w:val="24"/>
          <w:szCs w:val="24"/>
          <w:lang w:eastAsia="en-US" w:bidi="he-IL"/>
        </w:rPr>
        <w:t xml:space="preserve"> (Judg. 2:9, NASB, my emphasis).  </w:t>
      </w:r>
      <w:r w:rsidRPr="00973AED">
        <w:rPr>
          <w:rFonts w:ascii="Times New Roman" w:hAnsi="Times New Roman"/>
          <w:sz w:val="24"/>
          <w:szCs w:val="24"/>
        </w:rPr>
        <w:t>I owe these examples to Paul Copan.</w:t>
      </w:r>
    </w:p>
  </w:footnote>
  <w:footnote w:id="7">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All Scripture quotations are from the NIV unless otherwise stated.</w:t>
      </w:r>
    </w:p>
  </w:footnote>
  <w:footnote w:id="8">
    <w:p w:rsidR="001A6C34" w:rsidRPr="00973AED" w:rsidRDefault="001A6C34" w:rsidP="001A6C34">
      <w:pPr>
        <w:spacing w:after="0"/>
        <w:rPr>
          <w:rFonts w:ascii="Times New Roman" w:hAnsi="Times New Roman" w:cs="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s="Times New Roman"/>
          <w:color w:val="000000"/>
          <w:sz w:val="24"/>
          <w:szCs w:val="24"/>
        </w:rPr>
        <w:t xml:space="preserve"> In addition to these general claims about exterminating populations Joshua </w:t>
      </w:r>
      <w:r w:rsidRPr="00973AED">
        <w:rPr>
          <w:rStyle w:val="apple-style-span"/>
          <w:rFonts w:ascii="Times New Roman" w:hAnsi="Times New Roman" w:cs="Times New Roman"/>
          <w:color w:val="000000"/>
          <w:sz w:val="24"/>
          <w:szCs w:val="24"/>
        </w:rPr>
        <w:t xml:space="preserve">11:21-22 states “Joshua came and wiped out the </w:t>
      </w:r>
      <w:proofErr w:type="spellStart"/>
      <w:r w:rsidRPr="00973AED">
        <w:rPr>
          <w:rStyle w:val="apple-style-span"/>
          <w:rFonts w:ascii="Times New Roman" w:hAnsi="Times New Roman" w:cs="Times New Roman"/>
          <w:color w:val="000000"/>
          <w:sz w:val="24"/>
          <w:szCs w:val="24"/>
        </w:rPr>
        <w:t>Anakim</w:t>
      </w:r>
      <w:proofErr w:type="spellEnd"/>
      <w:r w:rsidRPr="00973AED">
        <w:rPr>
          <w:rStyle w:val="apple-style-span"/>
          <w:rFonts w:ascii="Times New Roman" w:hAnsi="Times New Roman" w:cs="Times New Roman"/>
          <w:color w:val="000000"/>
          <w:sz w:val="24"/>
          <w:szCs w:val="24"/>
        </w:rPr>
        <w:t xml:space="preserve"> from the hill country, from Hebron, from </w:t>
      </w:r>
      <w:proofErr w:type="spellStart"/>
      <w:r w:rsidRPr="00973AED">
        <w:rPr>
          <w:rStyle w:val="apple-style-span"/>
          <w:rFonts w:ascii="Times New Roman" w:hAnsi="Times New Roman" w:cs="Times New Roman"/>
          <w:color w:val="000000"/>
          <w:sz w:val="24"/>
          <w:szCs w:val="24"/>
        </w:rPr>
        <w:t>Debir</w:t>
      </w:r>
      <w:proofErr w:type="spellEnd"/>
      <w:r w:rsidRPr="00973AED">
        <w:rPr>
          <w:rStyle w:val="apple-style-span"/>
          <w:rFonts w:ascii="Times New Roman" w:hAnsi="Times New Roman" w:cs="Times New Roman"/>
          <w:color w:val="000000"/>
          <w:sz w:val="24"/>
          <w:szCs w:val="24"/>
        </w:rPr>
        <w:t xml:space="preserve">, from </w:t>
      </w:r>
      <w:proofErr w:type="spellStart"/>
      <w:r w:rsidRPr="00973AED">
        <w:rPr>
          <w:rStyle w:val="apple-style-span"/>
          <w:rFonts w:ascii="Times New Roman" w:hAnsi="Times New Roman" w:cs="Times New Roman"/>
          <w:color w:val="000000"/>
          <w:sz w:val="24"/>
          <w:szCs w:val="24"/>
        </w:rPr>
        <w:t>Anab</w:t>
      </w:r>
      <w:proofErr w:type="spellEnd"/>
      <w:r w:rsidRPr="00973AED">
        <w:rPr>
          <w:rStyle w:val="apple-style-span"/>
          <w:rFonts w:ascii="Times New Roman" w:hAnsi="Times New Roman" w:cs="Times New Roman"/>
          <w:color w:val="000000"/>
          <w:sz w:val="24"/>
          <w:szCs w:val="24"/>
        </w:rPr>
        <w:t xml:space="preserve">, and from all the hill country of Judah.” This happened after Joshua is already said to have killed the inhabitants in these areas in Joshua 10:30-40. </w:t>
      </w:r>
      <w:proofErr w:type="gramStart"/>
      <w:r w:rsidRPr="00973AED">
        <w:rPr>
          <w:rStyle w:val="apple-style-span"/>
          <w:rFonts w:ascii="Times New Roman" w:hAnsi="Times New Roman" w:cs="Times New Roman"/>
          <w:color w:val="000000"/>
          <w:sz w:val="24"/>
          <w:szCs w:val="24"/>
        </w:rPr>
        <w:t xml:space="preserve">Joshua 11:21 states that no </w:t>
      </w:r>
      <w:proofErr w:type="spellStart"/>
      <w:r w:rsidRPr="00973AED">
        <w:rPr>
          <w:rStyle w:val="apple-style-span"/>
          <w:rFonts w:ascii="Times New Roman" w:hAnsi="Times New Roman" w:cs="Times New Roman"/>
          <w:color w:val="000000"/>
          <w:sz w:val="24"/>
          <w:szCs w:val="24"/>
        </w:rPr>
        <w:t>Anakites</w:t>
      </w:r>
      <w:proofErr w:type="spellEnd"/>
      <w:r w:rsidRPr="00973AED">
        <w:rPr>
          <w:rStyle w:val="apple-style-span"/>
          <w:rFonts w:ascii="Times New Roman" w:hAnsi="Times New Roman" w:cs="Times New Roman"/>
          <w:color w:val="000000"/>
          <w:sz w:val="24"/>
          <w:szCs w:val="24"/>
        </w:rPr>
        <w:t xml:space="preserve"> were left living in Israeli territory after this campaign.</w:t>
      </w:r>
      <w:proofErr w:type="gramEnd"/>
      <w:r w:rsidRPr="00973AED">
        <w:rPr>
          <w:rStyle w:val="apple-style-span"/>
          <w:rFonts w:ascii="Times New Roman" w:hAnsi="Times New Roman" w:cs="Times New Roman"/>
          <w:color w:val="000000"/>
          <w:sz w:val="24"/>
          <w:szCs w:val="24"/>
        </w:rPr>
        <w:t> In Judges 1:21 the text explicitly states that</w:t>
      </w:r>
      <w:r w:rsidRPr="00973AED">
        <w:rPr>
          <w:rStyle w:val="apple-converted-space"/>
          <w:rFonts w:ascii="Times New Roman" w:hAnsi="Times New Roman" w:cs="Times New Roman"/>
          <w:color w:val="000000"/>
          <w:sz w:val="24"/>
          <w:szCs w:val="24"/>
        </w:rPr>
        <w:t> </w:t>
      </w:r>
      <w:proofErr w:type="spellStart"/>
      <w:r w:rsidRPr="00973AED">
        <w:rPr>
          <w:rStyle w:val="Emphasis"/>
          <w:rFonts w:ascii="Times New Roman" w:hAnsi="Times New Roman" w:cs="Times New Roman"/>
          <w:color w:val="000000"/>
          <w:sz w:val="24"/>
          <w:szCs w:val="24"/>
        </w:rPr>
        <w:t>Anakites</w:t>
      </w:r>
      <w:proofErr w:type="spellEnd"/>
      <w:r w:rsidRPr="00973AED">
        <w:rPr>
          <w:rStyle w:val="apple-converted-space"/>
          <w:rFonts w:ascii="Times New Roman" w:hAnsi="Times New Roman" w:cs="Times New Roman"/>
          <w:color w:val="000000"/>
          <w:sz w:val="24"/>
          <w:szCs w:val="24"/>
        </w:rPr>
        <w:t> </w:t>
      </w:r>
      <w:r w:rsidRPr="00973AED">
        <w:rPr>
          <w:rStyle w:val="apple-style-span"/>
          <w:rFonts w:ascii="Times New Roman" w:hAnsi="Times New Roman" w:cs="Times New Roman"/>
          <w:color w:val="000000"/>
          <w:sz w:val="24"/>
          <w:szCs w:val="24"/>
        </w:rPr>
        <w:t>are in Hebron.</w:t>
      </w:r>
    </w:p>
  </w:footnote>
  <w:footnote w:id="9">
    <w:p w:rsidR="001A6C34" w:rsidRPr="00973AED" w:rsidRDefault="001A6C34" w:rsidP="001A6C34">
      <w:pPr>
        <w:pStyle w:val="NormalWeb"/>
        <w:spacing w:before="0" w:beforeAutospacing="0" w:after="0" w:afterAutospacing="0"/>
        <w:ind w:right="28"/>
        <w:rPr>
          <w:color w:val="000000"/>
        </w:rPr>
      </w:pPr>
      <w:r w:rsidRPr="00973AED">
        <w:rPr>
          <w:rStyle w:val="FootnoteReference"/>
          <w:color w:val="000000"/>
        </w:rPr>
        <w:footnoteRef/>
      </w:r>
      <w:r w:rsidRPr="00973AED">
        <w:rPr>
          <w:color w:val="000000"/>
        </w:rPr>
        <w:t xml:space="preserve"> Kenneth A. Kitchen, </w:t>
      </w:r>
      <w:r w:rsidRPr="00973AED">
        <w:rPr>
          <w:rStyle w:val="Emphasis"/>
          <w:color w:val="000000"/>
        </w:rPr>
        <w:t>On the Reliability of the Old Testament</w:t>
      </w:r>
      <w:r w:rsidRPr="00973AED">
        <w:rPr>
          <w:rStyle w:val="apple-converted-space"/>
          <w:color w:val="000000"/>
        </w:rPr>
        <w:t> </w:t>
      </w:r>
      <w:r w:rsidRPr="00973AED">
        <w:rPr>
          <w:rStyle w:val="apple-style-span"/>
          <w:color w:val="000000"/>
        </w:rPr>
        <w:t>(Grand Rapids: Eerdmans, 2003). Kitchen</w:t>
      </w:r>
      <w:r w:rsidRPr="00973AED">
        <w:rPr>
          <w:rStyle w:val="apple-converted-space"/>
          <w:color w:val="000000"/>
        </w:rPr>
        <w:t> </w:t>
      </w:r>
      <w:r w:rsidRPr="00973AED">
        <w:rPr>
          <w:color w:val="000000"/>
        </w:rPr>
        <w:t xml:space="preserve">notes that a careful reading of the earlier chapters makes it clear that Israel did not actually conquer the areas mentioned at all.  Kitchen notes that, according to Joshua 4:19, after crossing the Jordan the Israelites set up camp in </w:t>
      </w:r>
      <w:proofErr w:type="spellStart"/>
      <w:r w:rsidRPr="00973AED">
        <w:rPr>
          <w:color w:val="000000"/>
        </w:rPr>
        <w:t>Gilgal</w:t>
      </w:r>
      <w:proofErr w:type="spellEnd"/>
      <w:r w:rsidRPr="00973AED">
        <w:rPr>
          <w:color w:val="000000"/>
        </w:rPr>
        <w:t xml:space="preserve"> on the eastern border of Jericho (161). Rather, after every battle in the next six chapters the text explicitly states that they returned to </w:t>
      </w:r>
      <w:proofErr w:type="spellStart"/>
      <w:r w:rsidRPr="00973AED">
        <w:rPr>
          <w:color w:val="000000"/>
        </w:rPr>
        <w:t>Gilgal</w:t>
      </w:r>
      <w:proofErr w:type="spellEnd"/>
      <w:r w:rsidRPr="00973AED">
        <w:rPr>
          <w:color w:val="000000"/>
        </w:rPr>
        <w:t>:</w:t>
      </w:r>
    </w:p>
    <w:p w:rsidR="001A6C34" w:rsidRPr="00973AED" w:rsidRDefault="001A6C34" w:rsidP="001A6C34">
      <w:pPr>
        <w:pStyle w:val="NormalWeb"/>
        <w:spacing w:before="0" w:beforeAutospacing="0" w:after="0" w:afterAutospacing="0"/>
        <w:ind w:left="720" w:right="26"/>
        <w:rPr>
          <w:color w:val="000000"/>
        </w:rPr>
      </w:pPr>
      <w:r w:rsidRPr="00973AED">
        <w:rPr>
          <w:color w:val="000000"/>
        </w:rPr>
        <w:t xml:space="preserve">The conflict with Canaanite city-state rulers in the south part of Canaan is worth close observation. After the battle for Gibeon, we see the Hebrews advance upon six towns in order, attacking and capturing them, killing their local kings and such of the inhabitants as had not gotten </w:t>
      </w:r>
      <w:proofErr w:type="gramStart"/>
      <w:r w:rsidRPr="00973AED">
        <w:rPr>
          <w:color w:val="000000"/>
        </w:rPr>
        <w:t>clear,</w:t>
      </w:r>
      <w:proofErr w:type="gramEnd"/>
      <w:r w:rsidRPr="00973AED">
        <w:rPr>
          <w:color w:val="000000"/>
        </w:rPr>
        <w:t xml:space="preserve"> </w:t>
      </w:r>
      <w:r w:rsidRPr="00973AED">
        <w:rPr>
          <w:i/>
          <w:color w:val="000000"/>
        </w:rPr>
        <w:t>and</w:t>
      </w:r>
      <w:r w:rsidRPr="00973AED">
        <w:rPr>
          <w:color w:val="000000"/>
        </w:rPr>
        <w:t xml:space="preserve"> </w:t>
      </w:r>
      <w:r w:rsidRPr="00973AED">
        <w:rPr>
          <w:i/>
          <w:iCs/>
          <w:color w:val="000000"/>
        </w:rPr>
        <w:t>moving on, not holding on to these places</w:t>
      </w:r>
      <w:r w:rsidRPr="00973AED">
        <w:rPr>
          <w:color w:val="000000"/>
        </w:rPr>
        <w:t xml:space="preserve">. Twice over (10:15, 43), it is clearly stated that their strike force </w:t>
      </w:r>
      <w:r w:rsidRPr="00973AED">
        <w:rPr>
          <w:i/>
          <w:iCs/>
          <w:color w:val="000000"/>
        </w:rPr>
        <w:t xml:space="preserve">returned to base camp at </w:t>
      </w:r>
      <w:proofErr w:type="spellStart"/>
      <w:r w:rsidRPr="00973AED">
        <w:rPr>
          <w:i/>
          <w:iCs/>
          <w:color w:val="000000"/>
        </w:rPr>
        <w:t>Gilgal</w:t>
      </w:r>
      <w:proofErr w:type="spellEnd"/>
      <w:r w:rsidRPr="00973AED">
        <w:rPr>
          <w:color w:val="000000"/>
        </w:rPr>
        <w:t xml:space="preserve">.  So there was no sweeping takeover and occupation of this region at this point. And </w:t>
      </w:r>
      <w:r w:rsidRPr="00973AED">
        <w:rPr>
          <w:i/>
          <w:color w:val="000000"/>
        </w:rPr>
        <w:t>no</w:t>
      </w:r>
      <w:r w:rsidRPr="00973AED">
        <w:rPr>
          <w:color w:val="000000"/>
        </w:rPr>
        <w:t xml:space="preserve"> total destruction of the towns attacked (162).</w:t>
      </w:r>
    </w:p>
    <w:p w:rsidR="001A6C34" w:rsidRPr="00973AED" w:rsidRDefault="001A6C34" w:rsidP="001A6C34">
      <w:pPr>
        <w:pStyle w:val="NormalWeb"/>
        <w:tabs>
          <w:tab w:val="left" w:pos="5660"/>
        </w:tabs>
        <w:spacing w:before="0" w:beforeAutospacing="0" w:after="0" w:afterAutospacing="0"/>
        <w:ind w:right="28"/>
        <w:rPr>
          <w:color w:val="000000"/>
        </w:rPr>
      </w:pPr>
      <w:r w:rsidRPr="00973AED">
        <w:rPr>
          <w:color w:val="000000"/>
        </w:rPr>
        <w:t>Kitchen goes on to comment:</w:t>
      </w:r>
    </w:p>
    <w:p w:rsidR="001A6C34" w:rsidRPr="00973AED" w:rsidRDefault="001A6C34" w:rsidP="001A6C34">
      <w:pPr>
        <w:pStyle w:val="NormalWeb"/>
        <w:spacing w:before="0" w:beforeAutospacing="0" w:after="0" w:afterAutospacing="0"/>
        <w:ind w:left="720" w:right="26"/>
        <w:rPr>
          <w:color w:val="000000"/>
        </w:rPr>
      </w:pPr>
      <w:r w:rsidRPr="00973AED">
        <w:rPr>
          <w:color w:val="000000"/>
        </w:rPr>
        <w:t xml:space="preserve">What happened in the south was repeated up north. </w:t>
      </w:r>
      <w:proofErr w:type="spellStart"/>
      <w:r w:rsidRPr="00973AED">
        <w:rPr>
          <w:color w:val="000000"/>
        </w:rPr>
        <w:t>Hazor</w:t>
      </w:r>
      <w:proofErr w:type="spellEnd"/>
      <w:r w:rsidRPr="00973AED">
        <w:rPr>
          <w:color w:val="000000"/>
        </w:rPr>
        <w:t xml:space="preserve"> was both leader and famed </w:t>
      </w:r>
      <w:proofErr w:type="spellStart"/>
      <w:r w:rsidRPr="00973AED">
        <w:rPr>
          <w:color w:val="000000"/>
        </w:rPr>
        <w:t>center</w:t>
      </w:r>
      <w:proofErr w:type="spellEnd"/>
      <w:r w:rsidRPr="00973AED">
        <w:rPr>
          <w:color w:val="000000"/>
        </w:rPr>
        <w:t xml:space="preserve"> for the north Canaanite kinglets. Thus as in the south, the Hebrew strike force defeated the opposition; they captured their towns, killed rulers and less mobile inhabitants, and symbolically burned </w:t>
      </w:r>
      <w:proofErr w:type="spellStart"/>
      <w:r w:rsidRPr="00973AED">
        <w:rPr>
          <w:color w:val="000000"/>
        </w:rPr>
        <w:t>Hazor</w:t>
      </w:r>
      <w:proofErr w:type="spellEnd"/>
      <w:r w:rsidRPr="00973AED">
        <w:rPr>
          <w:color w:val="000000"/>
        </w:rPr>
        <w:t xml:space="preserve">, and </w:t>
      </w:r>
      <w:proofErr w:type="spellStart"/>
      <w:r w:rsidRPr="00973AED">
        <w:rPr>
          <w:color w:val="000000"/>
        </w:rPr>
        <w:t>Hazor</w:t>
      </w:r>
      <w:proofErr w:type="spellEnd"/>
      <w:r w:rsidRPr="00973AED">
        <w:rPr>
          <w:color w:val="000000"/>
        </w:rPr>
        <w:t xml:space="preserve"> only, to emphasise the end of its local supremacy. Again Israel did </w:t>
      </w:r>
      <w:r w:rsidRPr="00973AED">
        <w:rPr>
          <w:i/>
          <w:color w:val="000000"/>
        </w:rPr>
        <w:t>not</w:t>
      </w:r>
      <w:r w:rsidRPr="00973AED">
        <w:rPr>
          <w:color w:val="000000"/>
        </w:rPr>
        <w:t xml:space="preserve"> attempt to immediately hold on to Galilee; they remained </w:t>
      </w:r>
      <w:r w:rsidRPr="00973AED">
        <w:rPr>
          <w:i/>
          <w:color w:val="000000"/>
        </w:rPr>
        <w:t xml:space="preserve">based at </w:t>
      </w:r>
      <w:proofErr w:type="spellStart"/>
      <w:r w:rsidRPr="00973AED">
        <w:rPr>
          <w:i/>
          <w:color w:val="000000"/>
        </w:rPr>
        <w:t>Gilgal</w:t>
      </w:r>
      <w:proofErr w:type="spellEnd"/>
      <w:r w:rsidRPr="00973AED">
        <w:rPr>
          <w:color w:val="000000"/>
        </w:rPr>
        <w:t xml:space="preserve"> (cf. 14:6) (ibid.).</w:t>
      </w:r>
    </w:p>
    <w:p w:rsidR="001A6C34" w:rsidRPr="00973AED" w:rsidRDefault="001A6C34" w:rsidP="001A6C34">
      <w:pPr>
        <w:pStyle w:val="NormalWeb"/>
        <w:spacing w:before="0" w:beforeAutospacing="0" w:after="0" w:afterAutospacing="0"/>
        <w:ind w:right="28"/>
        <w:rPr>
          <w:color w:val="000000"/>
          <w:lang w:val="en-NZ"/>
        </w:rPr>
      </w:pPr>
      <w:r w:rsidRPr="00973AED">
        <w:rPr>
          <w:color w:val="000000"/>
        </w:rPr>
        <w:t xml:space="preserve">Kitchen points out that “the first indication of a </w:t>
      </w:r>
      <w:r w:rsidRPr="00973AED">
        <w:rPr>
          <w:i/>
          <w:color w:val="000000"/>
        </w:rPr>
        <w:t>real</w:t>
      </w:r>
      <w:r w:rsidRPr="00973AED">
        <w:rPr>
          <w:color w:val="000000"/>
        </w:rPr>
        <w:t xml:space="preserve"> move in occupation outward beyond </w:t>
      </w:r>
      <w:proofErr w:type="spellStart"/>
      <w:r w:rsidRPr="00973AED">
        <w:rPr>
          <w:color w:val="000000"/>
        </w:rPr>
        <w:t>Gilgal</w:t>
      </w:r>
      <w:proofErr w:type="spellEnd"/>
      <w:r w:rsidRPr="00973AED">
        <w:rPr>
          <w:color w:val="000000"/>
        </w:rPr>
        <w:t xml:space="preserve"> comes in 18:4” (162).  This is after the first allotment of “lands-to-be-occupied had been made” and as we saw above the Israelites did not find occupying these allotments easy. He concludes:  “these campaigns were essentially </w:t>
      </w:r>
      <w:r w:rsidRPr="00973AED">
        <w:rPr>
          <w:i/>
          <w:color w:val="000000"/>
        </w:rPr>
        <w:t>disabling raids</w:t>
      </w:r>
      <w:r w:rsidRPr="00973AED">
        <w:rPr>
          <w:color w:val="000000"/>
        </w:rPr>
        <w:t>: they were not territorial conquests with instant Hebrew occupation. The text is very clear about this” (ibid.).</w:t>
      </w:r>
    </w:p>
  </w:footnote>
  <w:footnote w:id="10">
    <w:p w:rsidR="001A6C34" w:rsidRPr="00A60145" w:rsidRDefault="001A6C34" w:rsidP="001A6C34">
      <w:pPr>
        <w:pStyle w:val="FootnoteText"/>
        <w:rPr>
          <w:rFonts w:ascii="Times New Roman" w:hAnsi="Times New Roman"/>
          <w:sz w:val="24"/>
          <w:szCs w:val="24"/>
        </w:rPr>
      </w:pPr>
      <w:r>
        <w:rPr>
          <w:rStyle w:val="FootnoteReference"/>
        </w:rPr>
        <w:footnoteRef/>
      </w:r>
      <w:r>
        <w:t xml:space="preserve"> I</w:t>
      </w:r>
      <w:r>
        <w:rPr>
          <w:rFonts w:ascii="Times New Roman" w:hAnsi="Times New Roman"/>
          <w:sz w:val="24"/>
          <w:szCs w:val="24"/>
        </w:rPr>
        <w:t xml:space="preserve">n </w:t>
      </w:r>
      <w:r w:rsidRPr="002B5D20">
        <w:rPr>
          <w:rFonts w:ascii="Times New Roman" w:hAnsi="Times New Roman"/>
          <w:sz w:val="24"/>
          <w:szCs w:val="24"/>
        </w:rPr>
        <w:t>this section</w:t>
      </w:r>
      <w:r>
        <w:rPr>
          <w:rFonts w:ascii="Times New Roman" w:hAnsi="Times New Roman"/>
          <w:sz w:val="24"/>
          <w:szCs w:val="24"/>
        </w:rPr>
        <w:t xml:space="preserve"> I am arguing that the record of Joshua </w:t>
      </w:r>
      <w:r w:rsidRPr="002B5D20">
        <w:rPr>
          <w:rFonts w:ascii="Times New Roman" w:hAnsi="Times New Roman"/>
          <w:i/>
          <w:iCs/>
          <w:sz w:val="24"/>
          <w:szCs w:val="24"/>
        </w:rPr>
        <w:t>fulfilling</w:t>
      </w:r>
      <w:r>
        <w:rPr>
          <w:rFonts w:ascii="Times New Roman" w:hAnsi="Times New Roman"/>
          <w:sz w:val="24"/>
          <w:szCs w:val="24"/>
        </w:rPr>
        <w:t xml:space="preserve"> the command is hyperbolic. Even many evangelical scholars who believe the command was literal accept this. </w:t>
      </w:r>
      <w:r w:rsidRPr="00A60145">
        <w:rPr>
          <w:rFonts w:ascii="Times New Roman" w:hAnsi="Times New Roman"/>
          <w:sz w:val="24"/>
          <w:szCs w:val="24"/>
        </w:rPr>
        <w:t>For example, David M. Howard Jr. argues that, on the one hand, statements claiming Joshua subdued “the whole region” (10:40) are hyperbolic assertions emphasizing that “there was indeed a sweeping victory” and that “no significant opposition remained.” Such was intended “to reiterate the theological point made many times in the book that God was indeed giving Israel the entire land.” On the other hand, “the author acknowledged elsewhere that the conquest was indeed not complete” and that “there was still much work to do” (</w:t>
      </w:r>
      <w:r w:rsidRPr="00A60145">
        <w:rPr>
          <w:rFonts w:ascii="Times New Roman" w:hAnsi="Times New Roman"/>
          <w:i/>
          <w:sz w:val="24"/>
          <w:szCs w:val="24"/>
        </w:rPr>
        <w:t>Joshua</w:t>
      </w:r>
      <w:r w:rsidRPr="00A60145">
        <w:rPr>
          <w:rFonts w:ascii="Times New Roman" w:hAnsi="Times New Roman"/>
          <w:sz w:val="24"/>
          <w:szCs w:val="24"/>
        </w:rPr>
        <w:t xml:space="preserve"> [New American Commentary; Nashville: B&amp;H, 1998], 259). See also Richard Hess, </w:t>
      </w:r>
      <w:r w:rsidRPr="00A60145">
        <w:rPr>
          <w:rFonts w:ascii="Times New Roman" w:hAnsi="Times New Roman"/>
          <w:i/>
          <w:sz w:val="24"/>
          <w:szCs w:val="24"/>
        </w:rPr>
        <w:t>Joshua: An Introduction and Commentary</w:t>
      </w:r>
      <w:r w:rsidRPr="00A60145">
        <w:rPr>
          <w:rFonts w:ascii="Times New Roman" w:hAnsi="Times New Roman"/>
          <w:sz w:val="24"/>
          <w:szCs w:val="24"/>
        </w:rPr>
        <w:t xml:space="preserve"> (Tyndale Old Testament Commentary; </w:t>
      </w:r>
      <w:proofErr w:type="spellStart"/>
      <w:r w:rsidRPr="00A60145">
        <w:rPr>
          <w:rFonts w:ascii="Times New Roman" w:hAnsi="Times New Roman"/>
          <w:sz w:val="24"/>
          <w:szCs w:val="24"/>
        </w:rPr>
        <w:t>Downer’s</w:t>
      </w:r>
      <w:proofErr w:type="spellEnd"/>
      <w:r w:rsidRPr="00A60145">
        <w:rPr>
          <w:rFonts w:ascii="Times New Roman" w:hAnsi="Times New Roman"/>
          <w:sz w:val="24"/>
          <w:szCs w:val="24"/>
        </w:rPr>
        <w:t xml:space="preserve"> Grove: </w:t>
      </w:r>
      <w:proofErr w:type="spellStart"/>
      <w:r w:rsidRPr="00A60145">
        <w:rPr>
          <w:rFonts w:ascii="Times New Roman" w:hAnsi="Times New Roman"/>
          <w:sz w:val="24"/>
          <w:szCs w:val="24"/>
        </w:rPr>
        <w:t>InterVarsity</w:t>
      </w:r>
      <w:proofErr w:type="spellEnd"/>
      <w:r w:rsidRPr="00A60145">
        <w:rPr>
          <w:rFonts w:ascii="Times New Roman" w:hAnsi="Times New Roman"/>
          <w:sz w:val="24"/>
          <w:szCs w:val="24"/>
        </w:rPr>
        <w:t>, 1996), 284-86.</w:t>
      </w:r>
      <w:r>
        <w:rPr>
          <w:rFonts w:ascii="Times New Roman" w:hAnsi="Times New Roman"/>
          <w:sz w:val="24"/>
          <w:szCs w:val="24"/>
        </w:rPr>
        <w:t xml:space="preserve">  Where I differ from them is over the implications of this conclusion. I argue below that that if fulfillment is hyperbolic </w:t>
      </w:r>
      <w:proofErr w:type="gramStart"/>
      <w:r>
        <w:rPr>
          <w:rFonts w:ascii="Times New Roman" w:hAnsi="Times New Roman"/>
          <w:sz w:val="24"/>
          <w:szCs w:val="24"/>
        </w:rPr>
        <w:t>then  a</w:t>
      </w:r>
      <w:proofErr w:type="gramEnd"/>
      <w:r>
        <w:rPr>
          <w:rFonts w:ascii="Times New Roman" w:hAnsi="Times New Roman"/>
          <w:sz w:val="24"/>
          <w:szCs w:val="24"/>
        </w:rPr>
        <w:t xml:space="preserve"> plausible implication is that the command itself was hyperbolic. </w:t>
      </w:r>
    </w:p>
    <w:p w:rsidR="001A6C34" w:rsidRDefault="001A6C34" w:rsidP="001A6C34">
      <w:pPr>
        <w:pStyle w:val="FootnoteText"/>
      </w:pPr>
    </w:p>
  </w:footnote>
  <w:footnote w:id="11">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Wolterstorff, “Reading Joshua,” 251.</w:t>
      </w:r>
      <w:proofErr w:type="gramEnd"/>
    </w:p>
  </w:footnote>
  <w:footnote w:id="12">
    <w:p w:rsidR="001A6C34" w:rsidRPr="00973AED" w:rsidRDefault="001A6C34" w:rsidP="001A6C34">
      <w:pPr>
        <w:pStyle w:val="FootnoteText"/>
        <w:rPr>
          <w:rStyle w:val="apple-style-span"/>
          <w:rFonts w:asciiTheme="minorHAnsi" w:eastAsiaTheme="minorHAnsi" w:hAnsiTheme="minorHAnsi" w:cstheme="minorBidi"/>
          <w:sz w:val="22"/>
          <w:szCs w:val="22"/>
          <w:lang w:eastAsia="en-US"/>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 xml:space="preserve">Nicholas Wolterstorff, </w:t>
      </w:r>
      <w:r w:rsidRPr="00973AED">
        <w:rPr>
          <w:rStyle w:val="apple-style-span"/>
          <w:rFonts w:ascii="Times New Roman" w:hAnsi="Times New Roman"/>
          <w:i/>
          <w:iCs/>
          <w:color w:val="000000"/>
          <w:sz w:val="24"/>
          <w:szCs w:val="24"/>
        </w:rPr>
        <w:t>Divine Discourse: Philosophical Reflections on the Claim That God Speaks</w:t>
      </w:r>
      <w:r w:rsidRPr="00973AED">
        <w:rPr>
          <w:rStyle w:val="apple-converted-space"/>
          <w:rFonts w:ascii="Times New Roman" w:hAnsi="Times New Roman"/>
          <w:color w:val="000000"/>
          <w:sz w:val="24"/>
          <w:szCs w:val="24"/>
        </w:rPr>
        <w:t> </w:t>
      </w:r>
      <w:r w:rsidRPr="00973AED">
        <w:rPr>
          <w:rStyle w:val="apple-style-span"/>
          <w:rFonts w:ascii="Times New Roman" w:hAnsi="Times New Roman"/>
          <w:color w:val="000000"/>
          <w:sz w:val="24"/>
          <w:szCs w:val="24"/>
        </w:rPr>
        <w:t xml:space="preserve">(Cambridge: Cambridge University Press, 1995), 295. See also “Unity behind the Canon,” in </w:t>
      </w:r>
      <w:r w:rsidRPr="00973AED">
        <w:rPr>
          <w:rStyle w:val="apple-style-span"/>
          <w:rFonts w:ascii="Times New Roman" w:hAnsi="Times New Roman"/>
          <w:i/>
          <w:color w:val="000000"/>
          <w:sz w:val="24"/>
          <w:szCs w:val="24"/>
        </w:rPr>
        <w:t>One Scripture or Many? The Canon from Biblical, Theological, and Philosophical Perspectives</w:t>
      </w:r>
      <w:r w:rsidRPr="00973AED">
        <w:rPr>
          <w:rStyle w:val="apple-style-span"/>
          <w:rFonts w:ascii="Times New Roman" w:hAnsi="Times New Roman"/>
          <w:color w:val="000000"/>
          <w:sz w:val="24"/>
          <w:szCs w:val="24"/>
        </w:rPr>
        <w:t xml:space="preserve">, eds. Christine </w:t>
      </w:r>
      <w:proofErr w:type="spellStart"/>
      <w:r w:rsidRPr="00973AED">
        <w:rPr>
          <w:rStyle w:val="apple-style-span"/>
          <w:rFonts w:ascii="Times New Roman" w:hAnsi="Times New Roman"/>
          <w:color w:val="000000"/>
          <w:sz w:val="24"/>
          <w:szCs w:val="24"/>
        </w:rPr>
        <w:t>Helmer</w:t>
      </w:r>
      <w:proofErr w:type="spellEnd"/>
      <w:r w:rsidRPr="00973AED">
        <w:rPr>
          <w:rStyle w:val="apple-style-span"/>
          <w:rFonts w:ascii="Times New Roman" w:hAnsi="Times New Roman"/>
          <w:color w:val="000000"/>
          <w:sz w:val="24"/>
          <w:szCs w:val="24"/>
        </w:rPr>
        <w:t xml:space="preserve"> and Christ</w:t>
      </w:r>
      <w:r>
        <w:rPr>
          <w:rStyle w:val="apple-style-span"/>
          <w:rFonts w:ascii="Times New Roman" w:hAnsi="Times New Roman"/>
          <w:color w:val="000000"/>
          <w:sz w:val="24"/>
          <w:szCs w:val="24"/>
        </w:rPr>
        <w:t xml:space="preserve"> </w:t>
      </w:r>
      <w:r w:rsidRPr="00973AED">
        <w:rPr>
          <w:rStyle w:val="apple-style-span"/>
          <w:rFonts w:ascii="Times New Roman" w:hAnsi="Times New Roman"/>
          <w:color w:val="000000"/>
          <w:sz w:val="24"/>
          <w:szCs w:val="24"/>
        </w:rPr>
        <w:t xml:space="preserve">of </w:t>
      </w:r>
      <w:proofErr w:type="spellStart"/>
      <w:r w:rsidRPr="00973AED">
        <w:rPr>
          <w:rStyle w:val="apple-style-span"/>
          <w:rFonts w:ascii="Times New Roman" w:hAnsi="Times New Roman"/>
          <w:color w:val="000000"/>
          <w:sz w:val="24"/>
          <w:szCs w:val="24"/>
        </w:rPr>
        <w:t>Landmesse</w:t>
      </w:r>
      <w:proofErr w:type="spellEnd"/>
      <w:r w:rsidRPr="00973AED">
        <w:rPr>
          <w:rStyle w:val="apple-style-span"/>
          <w:rFonts w:ascii="Times New Roman" w:hAnsi="Times New Roman"/>
          <w:color w:val="000000"/>
          <w:sz w:val="24"/>
          <w:szCs w:val="24"/>
        </w:rPr>
        <w:t xml:space="preserve"> (New York: Oxford University Press, 2004), 217-32.</w:t>
      </w:r>
    </w:p>
  </w:footnote>
  <w:footnote w:id="13">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 xml:space="preserve">Alvin </w:t>
      </w:r>
      <w:proofErr w:type="spellStart"/>
      <w:r w:rsidRPr="00973AED">
        <w:rPr>
          <w:rFonts w:ascii="Times New Roman" w:hAnsi="Times New Roman"/>
          <w:color w:val="000000"/>
          <w:sz w:val="24"/>
          <w:szCs w:val="24"/>
          <w:lang w:val="en-NZ"/>
        </w:rPr>
        <w:t>Plantinga</w:t>
      </w:r>
      <w:proofErr w:type="spellEnd"/>
      <w:r w:rsidRPr="00973AED">
        <w:rPr>
          <w:rFonts w:ascii="Times New Roman" w:hAnsi="Times New Roman"/>
          <w:color w:val="000000"/>
          <w:sz w:val="24"/>
          <w:szCs w:val="24"/>
          <w:lang w:val="en-NZ"/>
        </w:rPr>
        <w:t xml:space="preserve"> argues in </w:t>
      </w:r>
      <w:r w:rsidRPr="00973AED">
        <w:rPr>
          <w:rFonts w:ascii="Times New Roman" w:hAnsi="Times New Roman"/>
          <w:i/>
          <w:color w:val="000000"/>
          <w:sz w:val="24"/>
          <w:szCs w:val="24"/>
          <w:lang w:val="en-NZ"/>
        </w:rPr>
        <w:t>Warranted Christian Belief</w:t>
      </w:r>
      <w:r w:rsidRPr="00973AED">
        <w:rPr>
          <w:rFonts w:ascii="Times New Roman" w:hAnsi="Times New Roman"/>
          <w:color w:val="000000"/>
          <w:sz w:val="24"/>
          <w:szCs w:val="24"/>
          <w:lang w:val="en-NZ"/>
        </w:rPr>
        <w:t xml:space="preserve"> (New York: Oxford University Press, 2000), 385:</w:t>
      </w:r>
    </w:p>
    <w:p w:rsidR="001A6C34" w:rsidRPr="00973AED" w:rsidRDefault="001A6C34" w:rsidP="001A6C34">
      <w:pPr>
        <w:pStyle w:val="FootnoteText"/>
        <w:ind w:left="720"/>
        <w:rPr>
          <w:rFonts w:ascii="Times New Roman" w:hAnsi="Times New Roman"/>
          <w:color w:val="000000"/>
          <w:sz w:val="24"/>
          <w:szCs w:val="24"/>
          <w:lang w:val="en-NZ"/>
        </w:rPr>
      </w:pPr>
      <w:r>
        <w:rPr>
          <w:rFonts w:ascii="Times New Roman" w:hAnsi="Times New Roman"/>
          <w:color w:val="000000"/>
          <w:sz w:val="24"/>
          <w:szCs w:val="24"/>
        </w:rPr>
        <w:t>[A]</w:t>
      </w:r>
      <w:r w:rsidRPr="00973AED">
        <w:rPr>
          <w:rFonts w:ascii="Times New Roman" w:hAnsi="Times New Roman"/>
          <w:color w:val="000000"/>
          <w:sz w:val="24"/>
          <w:szCs w:val="24"/>
        </w:rPr>
        <w:t xml:space="preserve">n assumption of the enterprise is that the principal author of the Bible—the entire Bible—is God himself (according to Calvin, God the Holy Spirit). Of course each of the books of the Bible has a human author or authors as well; still, the principal author is God. This impels us to treat the whole more like a unified communication than a miscellany of ancient books. Scripture isn’t so much a library of independent books as itself a book with many subdivisions but a central theme: the message of the gospel. By virtue of this unity, furthermore (by virtue of the fact that there is just one principal author), it is possible to “interpret Scripture with Scripture.” If a given passage from one of Paul’s epistles is puzzling, it is perfectly proper to try to come to clarity as to what God’s teaching is in this passage by appealing not only to what Paul himself says elsewhere in other epistles but also to what is taught elsewhere in Scripture </w:t>
      </w:r>
      <w:r w:rsidRPr="00973AED">
        <w:rPr>
          <w:rStyle w:val="apple-style-span"/>
          <w:rFonts w:ascii="Times New Roman" w:hAnsi="Times New Roman"/>
          <w:color w:val="000000"/>
          <w:sz w:val="24"/>
          <w:szCs w:val="24"/>
        </w:rPr>
        <w:t>(for example, the Gospel of John)</w:t>
      </w:r>
      <w:r w:rsidRPr="00973AED">
        <w:rPr>
          <w:rFonts w:ascii="Times New Roman" w:hAnsi="Times New Roman"/>
          <w:i/>
          <w:color w:val="000000"/>
          <w:sz w:val="24"/>
          <w:szCs w:val="24"/>
          <w:lang w:val="en-NZ"/>
        </w:rPr>
        <w:t xml:space="preserve"> </w:t>
      </w:r>
      <w:r w:rsidRPr="00973AED">
        <w:rPr>
          <w:rFonts w:ascii="Times New Roman" w:hAnsi="Times New Roman"/>
          <w:color w:val="000000"/>
          <w:sz w:val="24"/>
          <w:szCs w:val="24"/>
          <w:lang w:val="en-NZ"/>
        </w:rPr>
        <w:t>(</w:t>
      </w:r>
      <w:r w:rsidRPr="00973AED">
        <w:rPr>
          <w:rFonts w:ascii="Times New Roman" w:hAnsi="Times New Roman"/>
          <w:i/>
          <w:color w:val="000000"/>
          <w:sz w:val="24"/>
          <w:szCs w:val="24"/>
          <w:lang w:val="en-NZ"/>
        </w:rPr>
        <w:t>Warranted Christian Belief</w:t>
      </w:r>
      <w:r w:rsidRPr="00973AED">
        <w:rPr>
          <w:rFonts w:ascii="Times New Roman" w:hAnsi="Times New Roman"/>
          <w:color w:val="000000"/>
          <w:sz w:val="24"/>
          <w:szCs w:val="24"/>
          <w:lang w:val="en-NZ"/>
        </w:rPr>
        <w:t xml:space="preserve"> [New York: Oxford University Press, 2000], 385).</w:t>
      </w:r>
    </w:p>
  </w:footnote>
  <w:footnote w:id="14">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Nicholas </w:t>
      </w:r>
      <w:r w:rsidRPr="00973AED">
        <w:rPr>
          <w:rFonts w:ascii="Times New Roman" w:hAnsi="Times New Roman"/>
          <w:color w:val="000000"/>
          <w:sz w:val="24"/>
          <w:szCs w:val="24"/>
          <w:lang w:val="en-NZ"/>
        </w:rPr>
        <w:t>Wolterstorff in the question and answers session following his paper</w:t>
      </w:r>
      <w:r w:rsidRPr="00973AED">
        <w:rPr>
          <w:rFonts w:ascii="Times New Roman" w:hAnsi="Times New Roman"/>
          <w:sz w:val="24"/>
          <w:szCs w:val="24"/>
          <w:lang w:val="en-NZ"/>
        </w:rPr>
        <w:t xml:space="preserve"> “Reading Joshua” presented at the </w:t>
      </w:r>
      <w:r w:rsidRPr="00973AED">
        <w:rPr>
          <w:rFonts w:ascii="Times New Roman" w:hAnsi="Times New Roman"/>
          <w:b/>
          <w:bCs/>
          <w:sz w:val="24"/>
          <w:szCs w:val="24"/>
          <w:lang w:val="en-NZ"/>
        </w:rPr>
        <w:t>“</w:t>
      </w:r>
      <w:r w:rsidRPr="00973AED">
        <w:rPr>
          <w:rFonts w:ascii="Times New Roman" w:hAnsi="Times New Roman"/>
          <w:sz w:val="24"/>
          <w:szCs w:val="24"/>
          <w:lang w:val="en-NZ"/>
        </w:rPr>
        <w:t xml:space="preserve">My Ways Are Not Your Ways: The Character of the God of the Hebrew Bible” conference at the </w:t>
      </w:r>
      <w:proofErr w:type="spellStart"/>
      <w:r w:rsidRPr="00973AED">
        <w:rPr>
          <w:rFonts w:ascii="Times New Roman" w:hAnsi="Times New Roman"/>
          <w:sz w:val="24"/>
          <w:szCs w:val="24"/>
          <w:lang w:val="en-NZ"/>
        </w:rPr>
        <w:t>Center</w:t>
      </w:r>
      <w:proofErr w:type="spellEnd"/>
      <w:r w:rsidRPr="00973AED">
        <w:rPr>
          <w:rFonts w:ascii="Times New Roman" w:hAnsi="Times New Roman"/>
          <w:sz w:val="24"/>
          <w:szCs w:val="24"/>
          <w:lang w:val="en-NZ"/>
        </w:rPr>
        <w:t xml:space="preserve"> for Philosophy of Religion, University of Notre Dame, Saturday 12 September 2009</w:t>
      </w:r>
      <w:r w:rsidRPr="00973AED">
        <w:rPr>
          <w:rFonts w:ascii="Times New Roman" w:hAnsi="Times New Roman"/>
          <w:color w:val="000000"/>
          <w:sz w:val="24"/>
          <w:szCs w:val="24"/>
          <w:lang w:val="en-NZ"/>
        </w:rPr>
        <w:t xml:space="preserve"> at &lt;http://www.nd.edu/~cprelig/conferences/documents/HBprogram_006.pdf&gt; accessed 19 December 2009 that the phrase “he killed all the inhabitants with the edge of the sword” occurs at least 15 times in Joshua 6-11 in close succession. This is “hammered home with emphasis.” This is then followed in the next chapter by the claim that Joshua had not conquered the whole land. In the next five chapters it is stressed repeatedly that the land is not yet conquered. This is followed by the opening chapters of Judges, which affirms eight times, in a single chapter, that the Israelites had failed to conquer the land or the cities, finishing with the angel of the</w:t>
      </w:r>
      <w:r w:rsidRPr="00973AED">
        <w:rPr>
          <w:rFonts w:ascii="Times New Roman" w:hAnsi="Times New Roman"/>
          <w:smallCaps/>
          <w:color w:val="000000"/>
          <w:sz w:val="24"/>
          <w:szCs w:val="24"/>
          <w:lang w:val="en-NZ"/>
        </w:rPr>
        <w:t xml:space="preserve"> Lord </w:t>
      </w:r>
      <w:r w:rsidRPr="00973AED">
        <w:rPr>
          <w:rFonts w:ascii="Times New Roman" w:hAnsi="Times New Roman"/>
          <w:color w:val="000000"/>
          <w:sz w:val="24"/>
          <w:szCs w:val="24"/>
          <w:lang w:val="en-NZ"/>
        </w:rPr>
        <w:t xml:space="preserve">at </w:t>
      </w:r>
      <w:proofErr w:type="spellStart"/>
      <w:r w:rsidRPr="00973AED">
        <w:rPr>
          <w:rFonts w:ascii="Times New Roman" w:hAnsi="Times New Roman"/>
          <w:color w:val="000000"/>
          <w:sz w:val="24"/>
          <w:szCs w:val="24"/>
          <w:lang w:val="en-NZ"/>
        </w:rPr>
        <w:t>Bokim</w:t>
      </w:r>
      <w:proofErr w:type="spellEnd"/>
      <w:r w:rsidRPr="00973AED">
        <w:rPr>
          <w:rFonts w:ascii="Times New Roman" w:hAnsi="Times New Roman"/>
          <w:color w:val="000000"/>
          <w:sz w:val="24"/>
          <w:szCs w:val="24"/>
          <w:lang w:val="en-NZ"/>
        </w:rPr>
        <w:t xml:space="preserve"> rebuking them for failing to do so (Judges 2:1-5). These are not subtle contrasts. They are, in </w:t>
      </w:r>
      <w:proofErr w:type="spellStart"/>
      <w:r w:rsidRPr="00973AED">
        <w:rPr>
          <w:rFonts w:ascii="Times New Roman" w:hAnsi="Times New Roman"/>
          <w:color w:val="000000"/>
          <w:sz w:val="24"/>
          <w:szCs w:val="24"/>
          <w:lang w:val="en-NZ"/>
        </w:rPr>
        <w:t>Wolterstorff’s</w:t>
      </w:r>
      <w:proofErr w:type="spellEnd"/>
      <w:r w:rsidRPr="00973AED">
        <w:rPr>
          <w:rFonts w:ascii="Times New Roman" w:hAnsi="Times New Roman"/>
          <w:color w:val="000000"/>
          <w:sz w:val="24"/>
          <w:szCs w:val="24"/>
          <w:lang w:val="en-NZ"/>
        </w:rPr>
        <w:t xml:space="preserve"> words, “flamboyant”; it is unlikely that an intelligent </w:t>
      </w:r>
      <w:r>
        <w:rPr>
          <w:rFonts w:ascii="Times New Roman" w:hAnsi="Times New Roman"/>
          <w:color w:val="000000"/>
          <w:sz w:val="24"/>
          <w:szCs w:val="24"/>
          <w:lang w:val="en-NZ"/>
        </w:rPr>
        <w:t>author or editor</w:t>
      </w:r>
      <w:r w:rsidRPr="00973AED">
        <w:rPr>
          <w:rFonts w:ascii="Times New Roman" w:hAnsi="Times New Roman"/>
          <w:color w:val="000000"/>
          <w:sz w:val="24"/>
          <w:szCs w:val="24"/>
          <w:lang w:val="en-NZ"/>
        </w:rPr>
        <w:t xml:space="preserve"> would have missed this.</w:t>
      </w:r>
    </w:p>
  </w:footnote>
  <w:footnote w:id="15">
    <w:p w:rsidR="001A6C34" w:rsidRPr="00973AED" w:rsidRDefault="001A6C34" w:rsidP="001A6C34">
      <w:pPr>
        <w:pStyle w:val="FootnoteText"/>
        <w:rPr>
          <w:rFonts w:ascii="Times New Roman" w:hAnsi="Times New Roman"/>
          <w:sz w:val="24"/>
          <w:szCs w:val="24"/>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w:t>
      </w:r>
      <w:proofErr w:type="gramStart"/>
      <w:r w:rsidRPr="00973AED">
        <w:rPr>
          <w:rFonts w:ascii="Times New Roman" w:hAnsi="Times New Roman"/>
          <w:sz w:val="24"/>
          <w:szCs w:val="24"/>
        </w:rPr>
        <w:t>Wolterstorff, “Reading Joshua,” 251.</w:t>
      </w:r>
      <w:proofErr w:type="gramEnd"/>
    </w:p>
  </w:footnote>
  <w:footnote w:id="16">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Pr>
          <w:rFonts w:ascii="Times New Roman" w:hAnsi="Times New Roman"/>
          <w:color w:val="000000"/>
          <w:sz w:val="24"/>
          <w:szCs w:val="24"/>
          <w:lang w:val="en-NZ"/>
        </w:rPr>
        <w:t>Ibid.,</w:t>
      </w:r>
      <w:proofErr w:type="gramEnd"/>
      <w:r w:rsidRPr="00973AED">
        <w:rPr>
          <w:rFonts w:ascii="Times New Roman" w:hAnsi="Times New Roman"/>
          <w:color w:val="000000"/>
          <w:sz w:val="24"/>
          <w:szCs w:val="24"/>
          <w:lang w:val="en-NZ"/>
        </w:rPr>
        <w:t xml:space="preserve"> 252.</w:t>
      </w:r>
    </w:p>
  </w:footnote>
  <w:footnote w:id="17">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Ibid.</w:t>
      </w:r>
      <w:proofErr w:type="gramEnd"/>
      <w:r w:rsidRPr="00973AED">
        <w:rPr>
          <w:rFonts w:ascii="Times New Roman" w:hAnsi="Times New Roman"/>
          <w:color w:val="000000"/>
          <w:sz w:val="24"/>
          <w:szCs w:val="24"/>
        </w:rPr>
        <w:t xml:space="preserve"> The ritualized nature of the narration is also stressed by Duane L Christensen, </w:t>
      </w:r>
      <w:r w:rsidRPr="00973AED">
        <w:rPr>
          <w:rFonts w:ascii="Times New Roman" w:hAnsi="Times New Roman"/>
          <w:i/>
          <w:iCs/>
          <w:color w:val="000000"/>
          <w:sz w:val="24"/>
          <w:szCs w:val="24"/>
        </w:rPr>
        <w:t>Deuteronomy 1:1-21:9</w:t>
      </w:r>
      <w:r w:rsidRPr="00973AED">
        <w:rPr>
          <w:rFonts w:ascii="Times New Roman" w:hAnsi="Times New Roman"/>
          <w:color w:val="000000"/>
          <w:sz w:val="24"/>
          <w:szCs w:val="24"/>
        </w:rPr>
        <w:t xml:space="preserve"> (Nashville: Thomas Nelson Publishers, 2001).</w:t>
      </w:r>
    </w:p>
  </w:footnote>
  <w:footnote w:id="18">
    <w:p w:rsidR="001A6C34" w:rsidRPr="00973AED" w:rsidRDefault="001A6C34" w:rsidP="001A6C34">
      <w:pPr>
        <w:autoSpaceDE w:val="0"/>
        <w:autoSpaceDN w:val="0"/>
        <w:adjustRightInd w:val="0"/>
        <w:spacing w:after="0"/>
        <w:rPr>
          <w:rFonts w:ascii="Times New Roman" w:hAnsi="Times New Roman" w:cs="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s="Times New Roman"/>
          <w:color w:val="000000"/>
          <w:sz w:val="24"/>
          <w:szCs w:val="24"/>
        </w:rPr>
        <w:t xml:space="preserve"> </w:t>
      </w:r>
      <w:proofErr w:type="gramStart"/>
      <w:r w:rsidRPr="00973AED">
        <w:rPr>
          <w:rFonts w:ascii="Times New Roman" w:hAnsi="Times New Roman" w:cs="Times New Roman"/>
          <w:color w:val="000000"/>
          <w:sz w:val="24"/>
          <w:szCs w:val="24"/>
          <w:lang w:val="en-NZ"/>
        </w:rPr>
        <w:t>Wolterstorff, “Reading Joshua,” 252.</w:t>
      </w:r>
      <w:proofErr w:type="gramEnd"/>
      <w:r w:rsidRPr="00973AED">
        <w:rPr>
          <w:rFonts w:ascii="Times New Roman" w:hAnsi="Times New Roman" w:cs="Times New Roman"/>
          <w:color w:val="000000"/>
          <w:sz w:val="24"/>
          <w:szCs w:val="24"/>
          <w:lang w:val="en-NZ"/>
        </w:rPr>
        <w:t xml:space="preserve">  That the word </w:t>
      </w:r>
      <w:proofErr w:type="spellStart"/>
      <w:r w:rsidRPr="00973AED">
        <w:rPr>
          <w:rFonts w:ascii="Times New Roman" w:hAnsi="Times New Roman" w:cs="Times New Roman"/>
          <w:i/>
          <w:color w:val="000000"/>
          <w:sz w:val="24"/>
          <w:szCs w:val="24"/>
          <w:lang w:val="en-NZ"/>
        </w:rPr>
        <w:t>herem</w:t>
      </w:r>
      <w:proofErr w:type="spellEnd"/>
      <w:r w:rsidRPr="00973AED">
        <w:rPr>
          <w:rFonts w:ascii="Times New Roman" w:hAnsi="Times New Roman" w:cs="Times New Roman"/>
          <w:i/>
          <w:color w:val="000000"/>
          <w:sz w:val="24"/>
          <w:szCs w:val="24"/>
          <w:lang w:val="en-NZ"/>
        </w:rPr>
        <w:t>,</w:t>
      </w:r>
      <w:r w:rsidRPr="00973AED">
        <w:rPr>
          <w:rFonts w:ascii="Times New Roman" w:hAnsi="Times New Roman" w:cs="Times New Roman"/>
          <w:color w:val="000000"/>
          <w:sz w:val="24"/>
          <w:szCs w:val="24"/>
          <w:lang w:val="en-NZ"/>
        </w:rPr>
        <w:t xml:space="preserve"> translated as “devoted to destruction,” often serves a figurative or rhetorical function is also noted by Christopher Wright </w:t>
      </w:r>
      <w:r w:rsidRPr="00973AED">
        <w:rPr>
          <w:rStyle w:val="apple-style-span"/>
          <w:rFonts w:ascii="Times New Roman" w:hAnsi="Times New Roman" w:cs="Times New Roman"/>
          <w:iCs/>
          <w:color w:val="000000"/>
          <w:sz w:val="24"/>
          <w:szCs w:val="24"/>
        </w:rPr>
        <w:t>in</w:t>
      </w:r>
      <w:r w:rsidRPr="00973AED">
        <w:rPr>
          <w:rStyle w:val="apple-style-span"/>
          <w:rFonts w:ascii="Times New Roman" w:hAnsi="Times New Roman" w:cs="Times New Roman"/>
          <w:i/>
          <w:iCs/>
          <w:color w:val="000000"/>
          <w:sz w:val="24"/>
          <w:szCs w:val="24"/>
        </w:rPr>
        <w:t xml:space="preserve"> </w:t>
      </w:r>
      <w:r w:rsidRPr="00973AED">
        <w:rPr>
          <w:rFonts w:ascii="Times New Roman" w:hAnsi="Times New Roman" w:cs="Times New Roman"/>
          <w:i/>
          <w:color w:val="000000"/>
          <w:sz w:val="24"/>
          <w:szCs w:val="24"/>
        </w:rPr>
        <w:t>The God I Don’t Understand: Reflections on Tough Questions of Faith</w:t>
      </w:r>
      <w:r w:rsidRPr="00973AED">
        <w:rPr>
          <w:rFonts w:ascii="Times New Roman" w:hAnsi="Times New Roman" w:cs="Times New Roman"/>
          <w:color w:val="000000"/>
          <w:sz w:val="24"/>
          <w:szCs w:val="24"/>
        </w:rPr>
        <w:t xml:space="preserve"> (Grand Rapids MI: Zondervan, 2008), 87-88</w:t>
      </w:r>
      <w:r w:rsidRPr="00973AED">
        <w:rPr>
          <w:rFonts w:ascii="Times New Roman" w:hAnsi="Times New Roman" w:cs="Times New Roman"/>
          <w:color w:val="000000"/>
          <w:sz w:val="24"/>
          <w:szCs w:val="24"/>
          <w:lang w:val="en-NZ"/>
        </w:rPr>
        <w:t>,</w:t>
      </w:r>
    </w:p>
    <w:p w:rsidR="001A6C34" w:rsidRPr="00973AED" w:rsidRDefault="001A6C34" w:rsidP="001A6C34">
      <w:pPr>
        <w:autoSpaceDE w:val="0"/>
        <w:autoSpaceDN w:val="0"/>
        <w:adjustRightInd w:val="0"/>
        <w:spacing w:after="0"/>
        <w:ind w:left="720"/>
        <w:rPr>
          <w:rStyle w:val="apple-style-span"/>
        </w:rPr>
      </w:pPr>
      <w:r w:rsidRPr="00973AED">
        <w:rPr>
          <w:rStyle w:val="apple-style-span"/>
          <w:rFonts w:ascii="Times New Roman" w:hAnsi="Times New Roman" w:cs="Times New Roman"/>
          <w:color w:val="000000"/>
          <w:sz w:val="24"/>
          <w:szCs w:val="24"/>
        </w:rPr>
        <w:t xml:space="preserve">Now we need to know that Israel’s practice [sic] of </w:t>
      </w:r>
      <w:proofErr w:type="spellStart"/>
      <w:r w:rsidRPr="00973AED">
        <w:rPr>
          <w:rStyle w:val="apple-style-span"/>
          <w:rFonts w:ascii="Times New Roman" w:hAnsi="Times New Roman" w:cs="Times New Roman"/>
          <w:i/>
          <w:color w:val="000000"/>
          <w:sz w:val="24"/>
          <w:szCs w:val="24"/>
        </w:rPr>
        <w:t>herem</w:t>
      </w:r>
      <w:proofErr w:type="spellEnd"/>
      <w:r w:rsidRPr="00973AED">
        <w:rPr>
          <w:rStyle w:val="apple-style-span"/>
          <w:rFonts w:ascii="Times New Roman" w:hAnsi="Times New Roman" w:cs="Times New Roman"/>
          <w:color w:val="000000"/>
          <w:sz w:val="24"/>
          <w:szCs w:val="24"/>
        </w:rPr>
        <w:t xml:space="preserve"> was not in itself unique. Texts from other nations at the time show that such total destruction in war was </w:t>
      </w:r>
      <w:proofErr w:type="spellStart"/>
      <w:r w:rsidRPr="00973AED">
        <w:rPr>
          <w:rStyle w:val="apple-style-span"/>
          <w:rFonts w:ascii="Times New Roman" w:hAnsi="Times New Roman" w:cs="Times New Roman"/>
          <w:color w:val="000000"/>
          <w:sz w:val="24"/>
          <w:szCs w:val="24"/>
        </w:rPr>
        <w:t>practised</w:t>
      </w:r>
      <w:proofErr w:type="spellEnd"/>
      <w:r w:rsidRPr="00973AED">
        <w:rPr>
          <w:rStyle w:val="apple-style-span"/>
          <w:rFonts w:ascii="Times New Roman" w:hAnsi="Times New Roman" w:cs="Times New Roman"/>
          <w:color w:val="000000"/>
          <w:sz w:val="24"/>
          <w:szCs w:val="24"/>
        </w:rPr>
        <w:t xml:space="preserve"> [sic: cp. previous sentence],</w:t>
      </w:r>
      <w:r w:rsidRPr="00973AED">
        <w:rPr>
          <w:rStyle w:val="apple-converted-space"/>
          <w:rFonts w:ascii="Times New Roman" w:hAnsi="Times New Roman" w:cs="Times New Roman"/>
          <w:color w:val="000000"/>
          <w:sz w:val="24"/>
          <w:szCs w:val="24"/>
        </w:rPr>
        <w:t> </w:t>
      </w:r>
      <w:r w:rsidRPr="00973AED">
        <w:rPr>
          <w:rStyle w:val="apple-style-span"/>
          <w:rFonts w:ascii="Times New Roman" w:hAnsi="Times New Roman" w:cs="Times New Roman"/>
          <w:iCs/>
          <w:color w:val="000000"/>
          <w:sz w:val="24"/>
          <w:szCs w:val="24"/>
        </w:rPr>
        <w:t>or at any rate proudly claimed, elsewhere.</w:t>
      </w:r>
      <w:r w:rsidRPr="00973AED">
        <w:rPr>
          <w:rStyle w:val="apple-style-span"/>
          <w:rFonts w:ascii="Times New Roman" w:hAnsi="Times New Roman" w:cs="Times New Roman"/>
          <w:i/>
          <w:iCs/>
          <w:color w:val="000000"/>
          <w:sz w:val="24"/>
          <w:szCs w:val="24"/>
        </w:rPr>
        <w:t xml:space="preserve"> </w:t>
      </w:r>
      <w:r w:rsidRPr="00973AED">
        <w:rPr>
          <w:rStyle w:val="apple-style-span"/>
          <w:rFonts w:ascii="Times New Roman" w:hAnsi="Times New Roman" w:cs="Times New Roman"/>
          <w:iCs/>
          <w:color w:val="000000"/>
          <w:sz w:val="24"/>
          <w:szCs w:val="24"/>
        </w:rPr>
        <w:t>But we must also recognize that the language of warfare had a conventional rhetoric that liked to make absolute and universal claims about total victory and completely wiping out the enemy. Such rhetoric often exceeded reality on the ground.</w:t>
      </w:r>
    </w:p>
    <w:p w:rsidR="001A6C34" w:rsidRPr="00973AED" w:rsidRDefault="001A6C34" w:rsidP="001A6C34">
      <w:pPr>
        <w:autoSpaceDE w:val="0"/>
        <w:autoSpaceDN w:val="0"/>
        <w:adjustRightInd w:val="0"/>
        <w:spacing w:after="0"/>
        <w:rPr>
          <w:rFonts w:ascii="Times New Roman" w:hAnsi="Times New Roman" w:cs="Times New Roman"/>
          <w:color w:val="000000"/>
          <w:sz w:val="24"/>
          <w:szCs w:val="24"/>
          <w:lang w:val="en-NZ"/>
        </w:rPr>
      </w:pPr>
      <w:r w:rsidRPr="00973AED">
        <w:rPr>
          <w:rStyle w:val="apple-style-span"/>
          <w:rFonts w:ascii="Times New Roman" w:hAnsi="Times New Roman" w:cs="Times New Roman"/>
          <w:iCs/>
          <w:color w:val="000000"/>
          <w:sz w:val="24"/>
          <w:szCs w:val="24"/>
        </w:rPr>
        <w:t xml:space="preserve">At the other end of the spectrum, minimalist scholar Thomas L. Thomson, writing on the use of </w:t>
      </w:r>
      <w:proofErr w:type="spellStart"/>
      <w:r w:rsidRPr="00973AED">
        <w:rPr>
          <w:rStyle w:val="apple-style-span"/>
          <w:rFonts w:ascii="Times New Roman" w:hAnsi="Times New Roman" w:cs="Times New Roman"/>
          <w:i/>
          <w:iCs/>
          <w:color w:val="000000"/>
          <w:sz w:val="24"/>
          <w:szCs w:val="24"/>
        </w:rPr>
        <w:t>herem</w:t>
      </w:r>
      <w:proofErr w:type="spellEnd"/>
      <w:r w:rsidRPr="00973AED">
        <w:rPr>
          <w:rStyle w:val="apple-style-span"/>
          <w:rFonts w:ascii="Times New Roman" w:hAnsi="Times New Roman" w:cs="Times New Roman"/>
          <w:iCs/>
          <w:color w:val="000000"/>
          <w:sz w:val="24"/>
          <w:szCs w:val="24"/>
        </w:rPr>
        <w:t xml:space="preserve"> in the </w:t>
      </w:r>
      <w:proofErr w:type="spellStart"/>
      <w:r w:rsidRPr="00973AED">
        <w:rPr>
          <w:rStyle w:val="apple-style-span"/>
          <w:rFonts w:ascii="Times New Roman" w:hAnsi="Times New Roman" w:cs="Times New Roman"/>
          <w:iCs/>
          <w:color w:val="000000"/>
          <w:sz w:val="24"/>
          <w:szCs w:val="24"/>
        </w:rPr>
        <w:t>Mesha</w:t>
      </w:r>
      <w:proofErr w:type="spellEnd"/>
      <w:r w:rsidRPr="00973AED">
        <w:rPr>
          <w:rStyle w:val="apple-style-span"/>
          <w:rFonts w:ascii="Times New Roman" w:hAnsi="Times New Roman" w:cs="Times New Roman"/>
          <w:iCs/>
          <w:color w:val="000000"/>
          <w:sz w:val="24"/>
          <w:szCs w:val="24"/>
        </w:rPr>
        <w:t xml:space="preserve"> Stele notes that the “</w:t>
      </w:r>
      <w:r w:rsidRPr="00973AED">
        <w:rPr>
          <w:rFonts w:ascii="Times New Roman" w:hAnsi="Times New Roman" w:cs="Times New Roman"/>
          <w:color w:val="000000"/>
          <w:sz w:val="24"/>
          <w:szCs w:val="24"/>
        </w:rPr>
        <w:t xml:space="preserve">use of the ban at both </w:t>
      </w:r>
      <w:proofErr w:type="spellStart"/>
      <w:r w:rsidRPr="00973AED">
        <w:rPr>
          <w:rFonts w:ascii="Times New Roman" w:hAnsi="Times New Roman" w:cs="Times New Roman"/>
          <w:color w:val="000000"/>
          <w:sz w:val="24"/>
          <w:szCs w:val="24"/>
        </w:rPr>
        <w:t>Ataroth</w:t>
      </w:r>
      <w:proofErr w:type="spellEnd"/>
      <w:r w:rsidRPr="00973AED">
        <w:rPr>
          <w:rFonts w:ascii="Times New Roman" w:hAnsi="Times New Roman" w:cs="Times New Roman"/>
          <w:color w:val="000000"/>
          <w:sz w:val="24"/>
          <w:szCs w:val="24"/>
        </w:rPr>
        <w:t xml:space="preserve"> and Nebo are</w:t>
      </w:r>
      <w:r w:rsidRPr="00973AED">
        <w:rPr>
          <w:rStyle w:val="apple-style-span"/>
          <w:rFonts w:ascii="Times New Roman" w:hAnsi="Times New Roman" w:cs="Times New Roman"/>
          <w:iCs/>
          <w:color w:val="000000"/>
          <w:sz w:val="24"/>
          <w:szCs w:val="24"/>
        </w:rPr>
        <w:t xml:space="preserve"> </w:t>
      </w:r>
      <w:r w:rsidRPr="00973AED">
        <w:rPr>
          <w:rFonts w:ascii="Times New Roman" w:hAnsi="Times New Roman" w:cs="Times New Roman"/>
          <w:color w:val="000000"/>
          <w:sz w:val="24"/>
          <w:szCs w:val="24"/>
        </w:rPr>
        <w:t>clearly part of the totalitarian rhetoric of holy war rather than historical considerations” (</w:t>
      </w:r>
      <w:r w:rsidRPr="00973AED">
        <w:rPr>
          <w:rStyle w:val="apple-style-span"/>
          <w:rFonts w:ascii="Times New Roman" w:hAnsi="Times New Roman" w:cs="Times New Roman"/>
          <w:iCs/>
          <w:color w:val="000000"/>
          <w:sz w:val="24"/>
          <w:szCs w:val="24"/>
        </w:rPr>
        <w:t>“</w:t>
      </w:r>
      <w:proofErr w:type="spellStart"/>
      <w:r w:rsidRPr="00973AED">
        <w:rPr>
          <w:rFonts w:ascii="Times New Roman" w:hAnsi="Times New Roman" w:cs="Times New Roman"/>
          <w:color w:val="000000"/>
          <w:sz w:val="24"/>
          <w:szCs w:val="24"/>
        </w:rPr>
        <w:t>Mesha</w:t>
      </w:r>
      <w:proofErr w:type="spellEnd"/>
      <w:r w:rsidRPr="00973AED">
        <w:rPr>
          <w:rFonts w:ascii="Times New Roman" w:hAnsi="Times New Roman" w:cs="Times New Roman"/>
          <w:color w:val="000000"/>
          <w:sz w:val="24"/>
          <w:szCs w:val="24"/>
        </w:rPr>
        <w:t xml:space="preserve"> and Questions of Historicity,” </w:t>
      </w:r>
      <w:r w:rsidRPr="00973AED">
        <w:rPr>
          <w:rFonts w:ascii="Times New Roman" w:hAnsi="Times New Roman" w:cs="Times New Roman"/>
          <w:i/>
          <w:iCs/>
          <w:color w:val="000000"/>
          <w:sz w:val="24"/>
          <w:szCs w:val="24"/>
        </w:rPr>
        <w:t xml:space="preserve">Scandinavian Journal of the Old Testament </w:t>
      </w:r>
      <w:r w:rsidRPr="00973AED">
        <w:rPr>
          <w:rFonts w:ascii="Times New Roman" w:hAnsi="Times New Roman" w:cs="Times New Roman"/>
          <w:iCs/>
          <w:color w:val="000000"/>
          <w:sz w:val="24"/>
          <w:szCs w:val="24"/>
        </w:rPr>
        <w:t>22/2</w:t>
      </w:r>
      <w:r w:rsidRPr="00973AED">
        <w:rPr>
          <w:rFonts w:ascii="Times New Roman" w:hAnsi="Times New Roman" w:cs="Times New Roman"/>
          <w:color w:val="000000"/>
          <w:sz w:val="24"/>
          <w:szCs w:val="24"/>
        </w:rPr>
        <w:t xml:space="preserve"> [2007]: 249).</w:t>
      </w:r>
    </w:p>
  </w:footnote>
  <w:footnote w:id="19">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lang w:val="en-NZ"/>
        </w:rPr>
        <w:t>Wolterstorff, “Reading Joshua,” 251.</w:t>
      </w:r>
      <w:proofErr w:type="gramEnd"/>
    </w:p>
  </w:footnote>
  <w:footnote w:id="20">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Kitchen</w:t>
      </w:r>
      <w:r w:rsidRPr="00973AED">
        <w:rPr>
          <w:rStyle w:val="apple-converted-space"/>
          <w:rFonts w:ascii="Times New Roman" w:hAnsi="Times New Roman"/>
          <w:color w:val="000000"/>
          <w:sz w:val="24"/>
          <w:szCs w:val="24"/>
        </w:rPr>
        <w:t xml:space="preserve">, </w:t>
      </w:r>
      <w:r w:rsidRPr="00973AED">
        <w:rPr>
          <w:rStyle w:val="apple-converted-space"/>
          <w:rFonts w:ascii="Times New Roman" w:hAnsi="Times New Roman"/>
          <w:i/>
          <w:color w:val="000000"/>
          <w:sz w:val="24"/>
          <w:szCs w:val="24"/>
        </w:rPr>
        <w:t>Historical Reliability</w:t>
      </w:r>
      <w:r w:rsidRPr="00973AED">
        <w:rPr>
          <w:rStyle w:val="apple-converted-space"/>
          <w:rFonts w:ascii="Times New Roman" w:hAnsi="Times New Roman"/>
          <w:color w:val="000000"/>
          <w:sz w:val="24"/>
          <w:szCs w:val="24"/>
        </w:rPr>
        <w:t>,</w:t>
      </w:r>
      <w:r w:rsidRPr="00973AED">
        <w:rPr>
          <w:rStyle w:val="apple-converted-space"/>
          <w:rFonts w:ascii="Times New Roman" w:hAnsi="Times New Roman"/>
          <w:i/>
          <w:color w:val="000000"/>
          <w:sz w:val="24"/>
          <w:szCs w:val="24"/>
        </w:rPr>
        <w:t xml:space="preserve"> </w:t>
      </w:r>
      <w:r w:rsidRPr="00973AED">
        <w:rPr>
          <w:rStyle w:val="apple-style-span"/>
          <w:rFonts w:ascii="Times New Roman" w:hAnsi="Times New Roman"/>
          <w:color w:val="000000"/>
          <w:sz w:val="24"/>
          <w:szCs w:val="24"/>
        </w:rPr>
        <w:t>170 (emphasis added).</w:t>
      </w:r>
    </w:p>
  </w:footnote>
  <w:footnote w:id="21">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Ibid.,</w:t>
      </w:r>
      <w:proofErr w:type="gramEnd"/>
      <w:r w:rsidRPr="00973AED">
        <w:rPr>
          <w:rFonts w:ascii="Times New Roman" w:hAnsi="Times New Roman"/>
          <w:color w:val="000000"/>
          <w:sz w:val="24"/>
          <w:szCs w:val="24"/>
        </w:rPr>
        <w:t xml:space="preserve"> 170 (emphasis added).</w:t>
      </w:r>
    </w:p>
  </w:footnote>
  <w:footnote w:id="22">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lang w:val="en-NZ"/>
        </w:rPr>
        <w:t>Ibid.,</w:t>
      </w:r>
      <w:proofErr w:type="gramEnd"/>
      <w:r w:rsidRPr="00973AED">
        <w:rPr>
          <w:rFonts w:ascii="Times New Roman" w:hAnsi="Times New Roman"/>
          <w:color w:val="000000"/>
          <w:sz w:val="24"/>
          <w:szCs w:val="24"/>
          <w:lang w:val="en-NZ"/>
        </w:rPr>
        <w:t xml:space="preserve"> 172.</w:t>
      </w:r>
    </w:p>
  </w:footnote>
  <w:footnote w:id="23">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Style w:val="apple-style-span"/>
          <w:rFonts w:ascii="Times New Roman" w:hAnsi="Times New Roman"/>
          <w:color w:val="000000"/>
          <w:sz w:val="24"/>
          <w:szCs w:val="24"/>
        </w:rPr>
        <w:t>Ibid.,</w:t>
      </w:r>
      <w:proofErr w:type="gramEnd"/>
      <w:r w:rsidRPr="00973AED">
        <w:rPr>
          <w:rStyle w:val="apple-style-span"/>
          <w:rFonts w:ascii="Times New Roman" w:hAnsi="Times New Roman"/>
          <w:color w:val="000000"/>
          <w:sz w:val="24"/>
          <w:szCs w:val="24"/>
        </w:rPr>
        <w:t xml:space="preserve"> 174-5.</w:t>
      </w:r>
    </w:p>
  </w:footnote>
  <w:footnote w:id="24">
    <w:p w:rsidR="001A6C34" w:rsidRPr="00973AED" w:rsidRDefault="001A6C34" w:rsidP="001A6C34">
      <w:pPr>
        <w:pStyle w:val="PlainText"/>
        <w:rPr>
          <w:rFonts w:ascii="Times New Roman" w:hAnsi="Times New Roman" w:cs="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s="Times New Roman"/>
          <w:color w:val="000000"/>
          <w:sz w:val="24"/>
          <w:szCs w:val="24"/>
        </w:rPr>
        <w:t xml:space="preserve"> John Van </w:t>
      </w:r>
      <w:proofErr w:type="spellStart"/>
      <w:r w:rsidRPr="00973AED">
        <w:rPr>
          <w:rFonts w:ascii="Times New Roman" w:hAnsi="Times New Roman" w:cs="Times New Roman"/>
          <w:color w:val="000000"/>
          <w:sz w:val="24"/>
          <w:szCs w:val="24"/>
        </w:rPr>
        <w:t>Seters</w:t>
      </w:r>
      <w:proofErr w:type="spellEnd"/>
      <w:r w:rsidRPr="00973AED">
        <w:rPr>
          <w:rFonts w:ascii="Times New Roman" w:hAnsi="Times New Roman" w:cs="Times New Roman"/>
          <w:color w:val="000000"/>
          <w:sz w:val="24"/>
          <w:szCs w:val="24"/>
        </w:rPr>
        <w:t xml:space="preserve">, “Joshua's Campaign of Canaan and Near Eastern Historiography,” </w:t>
      </w:r>
      <w:r w:rsidRPr="00973AED">
        <w:rPr>
          <w:rFonts w:ascii="Times New Roman" w:hAnsi="Times New Roman" w:cs="Times New Roman"/>
          <w:i/>
          <w:color w:val="000000"/>
          <w:sz w:val="24"/>
          <w:szCs w:val="24"/>
        </w:rPr>
        <w:t>Scandinavian Journal of the Old Testament</w:t>
      </w:r>
      <w:r w:rsidRPr="00973AED">
        <w:rPr>
          <w:rFonts w:ascii="Times New Roman" w:hAnsi="Times New Roman" w:cs="Times New Roman"/>
          <w:color w:val="000000"/>
          <w:sz w:val="24"/>
          <w:szCs w:val="24"/>
        </w:rPr>
        <w:t xml:space="preserve"> 2 (1990) 1-12.</w:t>
      </w:r>
    </w:p>
  </w:footnote>
  <w:footnote w:id="25">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James K. </w:t>
      </w:r>
      <w:proofErr w:type="spellStart"/>
      <w:r w:rsidRPr="00973AED">
        <w:rPr>
          <w:rFonts w:ascii="Times New Roman" w:hAnsi="Times New Roman"/>
          <w:color w:val="000000"/>
          <w:sz w:val="24"/>
          <w:szCs w:val="24"/>
        </w:rPr>
        <w:t>Hoffmeier</w:t>
      </w:r>
      <w:proofErr w:type="spellEnd"/>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The Structure of Joshua 1-11 and the Annals of</w:t>
      </w:r>
      <w:r w:rsidRPr="00973AED">
        <w:rPr>
          <w:rStyle w:val="apple-converted-space"/>
          <w:rFonts w:ascii="Times New Roman" w:hAnsi="Times New Roman"/>
          <w:color w:val="000000"/>
          <w:sz w:val="24"/>
          <w:szCs w:val="24"/>
        </w:rPr>
        <w:t> </w:t>
      </w:r>
      <w:r w:rsidRPr="00973AED">
        <w:rPr>
          <w:rStyle w:val="Emphasis"/>
          <w:rFonts w:ascii="Times New Roman" w:hAnsi="Times New Roman"/>
          <w:bCs/>
          <w:color w:val="000000"/>
          <w:sz w:val="24"/>
          <w:szCs w:val="24"/>
        </w:rPr>
        <w:t>Thutmose</w:t>
      </w:r>
      <w:r w:rsidRPr="00973AED">
        <w:rPr>
          <w:rStyle w:val="apple-converted-space"/>
          <w:rFonts w:ascii="Times New Roman" w:hAnsi="Times New Roman"/>
          <w:color w:val="000000"/>
          <w:sz w:val="24"/>
          <w:szCs w:val="24"/>
        </w:rPr>
        <w:t> </w:t>
      </w:r>
      <w:r w:rsidRPr="00973AED">
        <w:rPr>
          <w:rStyle w:val="apple-style-span"/>
          <w:rFonts w:ascii="Times New Roman" w:hAnsi="Times New Roman"/>
          <w:color w:val="000000"/>
          <w:sz w:val="24"/>
          <w:szCs w:val="24"/>
        </w:rPr>
        <w:t>III,”</w:t>
      </w:r>
      <w:r w:rsidRPr="00973AED">
        <w:rPr>
          <w:rFonts w:ascii="Times New Roman" w:hAnsi="Times New Roman"/>
          <w:color w:val="000000"/>
          <w:sz w:val="24"/>
          <w:szCs w:val="24"/>
          <w:lang w:val="en-NZ"/>
        </w:rPr>
        <w:t xml:space="preserve"> in</w:t>
      </w:r>
      <w:r w:rsidRPr="00973AED">
        <w:rPr>
          <w:rFonts w:ascii="Times New Roman" w:hAnsi="Times New Roman"/>
          <w:color w:val="000000"/>
          <w:sz w:val="24"/>
          <w:szCs w:val="24"/>
        </w:rPr>
        <w:t xml:space="preserve"> </w:t>
      </w:r>
      <w:r w:rsidRPr="00973AED">
        <w:rPr>
          <w:rFonts w:ascii="Times New Roman" w:hAnsi="Times New Roman"/>
          <w:i/>
          <w:iCs/>
          <w:color w:val="000000"/>
          <w:sz w:val="24"/>
          <w:szCs w:val="24"/>
        </w:rPr>
        <w:t>Faith Tradition and History: Old Testament Historiography and its Ancient Near Eastern Context</w:t>
      </w:r>
      <w:r w:rsidRPr="00973AED">
        <w:rPr>
          <w:rFonts w:ascii="Times New Roman" w:hAnsi="Times New Roman"/>
          <w:iCs/>
          <w:color w:val="000000"/>
          <w:sz w:val="24"/>
          <w:szCs w:val="24"/>
        </w:rPr>
        <w:t>, eds.</w:t>
      </w:r>
      <w:r w:rsidRPr="00973AED">
        <w:rPr>
          <w:rFonts w:ascii="Times New Roman" w:hAnsi="Times New Roman"/>
          <w:i/>
          <w:iCs/>
          <w:color w:val="000000"/>
          <w:sz w:val="24"/>
          <w:szCs w:val="24"/>
        </w:rPr>
        <w:t xml:space="preserve"> </w:t>
      </w:r>
      <w:r w:rsidRPr="00973AED">
        <w:rPr>
          <w:rFonts w:ascii="Times New Roman" w:hAnsi="Times New Roman"/>
          <w:color w:val="000000"/>
          <w:sz w:val="24"/>
          <w:szCs w:val="24"/>
          <w:lang w:val="en-NZ"/>
        </w:rPr>
        <w:t xml:space="preserve">A.R. Millard, J.K. </w:t>
      </w:r>
      <w:proofErr w:type="spellStart"/>
      <w:r w:rsidRPr="00973AED">
        <w:rPr>
          <w:rFonts w:ascii="Times New Roman" w:hAnsi="Times New Roman"/>
          <w:color w:val="000000"/>
          <w:sz w:val="24"/>
          <w:szCs w:val="24"/>
          <w:lang w:val="en-NZ"/>
        </w:rPr>
        <w:t>Hoffmeier</w:t>
      </w:r>
      <w:proofErr w:type="spellEnd"/>
      <w:r w:rsidRPr="00973AED">
        <w:rPr>
          <w:rFonts w:ascii="Times New Roman" w:hAnsi="Times New Roman"/>
          <w:color w:val="000000"/>
          <w:sz w:val="24"/>
          <w:szCs w:val="24"/>
          <w:lang w:val="en-NZ"/>
        </w:rPr>
        <w:t xml:space="preserve">, and D.W. Baker </w:t>
      </w:r>
      <w:r w:rsidRPr="00973AED">
        <w:rPr>
          <w:rStyle w:val="apple-style-span"/>
          <w:rFonts w:ascii="Times New Roman" w:hAnsi="Times New Roman"/>
          <w:bCs/>
          <w:color w:val="000000"/>
          <w:sz w:val="24"/>
          <w:szCs w:val="24"/>
        </w:rPr>
        <w:t xml:space="preserve">(Winona Lake, IN: </w:t>
      </w:r>
      <w:proofErr w:type="spellStart"/>
      <w:r w:rsidRPr="00973AED">
        <w:rPr>
          <w:rStyle w:val="apple-style-span"/>
          <w:rFonts w:ascii="Times New Roman" w:hAnsi="Times New Roman"/>
          <w:bCs/>
          <w:color w:val="000000"/>
          <w:sz w:val="24"/>
          <w:szCs w:val="24"/>
        </w:rPr>
        <w:t>Eisenbrauns</w:t>
      </w:r>
      <w:proofErr w:type="spellEnd"/>
      <w:r w:rsidRPr="00973AED">
        <w:rPr>
          <w:rStyle w:val="apple-style-span"/>
          <w:rFonts w:ascii="Times New Roman" w:hAnsi="Times New Roman"/>
          <w:bCs/>
          <w:color w:val="000000"/>
          <w:sz w:val="24"/>
          <w:szCs w:val="24"/>
        </w:rPr>
        <w:t>, 1994), 165-81.</w:t>
      </w:r>
    </w:p>
  </w:footnote>
  <w:footnote w:id="26">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 xml:space="preserve">K. Lawson Younger </w:t>
      </w:r>
      <w:proofErr w:type="spellStart"/>
      <w:r w:rsidRPr="00973AED">
        <w:rPr>
          <w:rStyle w:val="apple-style-span"/>
          <w:rFonts w:ascii="Times New Roman" w:hAnsi="Times New Roman"/>
          <w:color w:val="000000"/>
          <w:sz w:val="24"/>
          <w:szCs w:val="24"/>
        </w:rPr>
        <w:t>Jr</w:t>
      </w:r>
      <w:proofErr w:type="spellEnd"/>
      <w:r w:rsidRPr="00973AED">
        <w:rPr>
          <w:rStyle w:val="apple-style-span"/>
          <w:rFonts w:ascii="Times New Roman" w:hAnsi="Times New Roman"/>
          <w:color w:val="000000"/>
          <w:sz w:val="24"/>
          <w:szCs w:val="24"/>
        </w:rPr>
        <w:t xml:space="preserve">, </w:t>
      </w:r>
      <w:r w:rsidRPr="00973AED">
        <w:rPr>
          <w:rStyle w:val="apple-style-span"/>
          <w:rFonts w:ascii="Times New Roman" w:hAnsi="Times New Roman"/>
          <w:i/>
          <w:color w:val="000000"/>
          <w:sz w:val="24"/>
          <w:szCs w:val="24"/>
        </w:rPr>
        <w:t>Ancient</w:t>
      </w:r>
      <w:r w:rsidRPr="00973AED">
        <w:rPr>
          <w:rStyle w:val="apple-style-span"/>
          <w:rFonts w:ascii="Times New Roman" w:hAnsi="Times New Roman"/>
          <w:color w:val="000000"/>
          <w:sz w:val="24"/>
          <w:szCs w:val="24"/>
        </w:rPr>
        <w:t xml:space="preserve"> </w:t>
      </w:r>
      <w:r w:rsidRPr="00973AED">
        <w:rPr>
          <w:rStyle w:val="apple-style-span"/>
          <w:rFonts w:ascii="Times New Roman" w:hAnsi="Times New Roman"/>
          <w:i/>
          <w:color w:val="000000"/>
          <w:sz w:val="24"/>
          <w:szCs w:val="24"/>
        </w:rPr>
        <w:t>Conquest Accounts: A Study in Ancient Near Eastern and Biblical History Writing</w:t>
      </w:r>
      <w:r w:rsidRPr="00973AED">
        <w:rPr>
          <w:rStyle w:val="apple-style-span"/>
          <w:rFonts w:ascii="Times New Roman" w:hAnsi="Times New Roman"/>
          <w:color w:val="000000"/>
          <w:sz w:val="24"/>
          <w:szCs w:val="24"/>
        </w:rPr>
        <w:t xml:space="preserve"> (Sheffield: Sheffield Academic Press, 1990), 200-4.</w:t>
      </w:r>
    </w:p>
  </w:footnote>
  <w:footnote w:id="27">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lang w:val="en-NZ"/>
        </w:rPr>
        <w:t>Ibid.,</w:t>
      </w:r>
      <w:proofErr w:type="gramEnd"/>
      <w:r w:rsidRPr="00973AED">
        <w:rPr>
          <w:rFonts w:ascii="Times New Roman" w:hAnsi="Times New Roman"/>
          <w:color w:val="000000"/>
          <w:sz w:val="24"/>
          <w:szCs w:val="24"/>
          <w:lang w:val="en-NZ"/>
        </w:rPr>
        <w:t xml:space="preserve"> 216.</w:t>
      </w:r>
    </w:p>
  </w:footnote>
  <w:footnote w:id="28">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Style w:val="apple-style-span"/>
          <w:rFonts w:ascii="Times New Roman" w:hAnsi="Times New Roman"/>
          <w:color w:val="000000"/>
          <w:sz w:val="24"/>
          <w:szCs w:val="24"/>
        </w:rPr>
        <w:t>Ibid.,</w:t>
      </w:r>
      <w:proofErr w:type="gramEnd"/>
      <w:r w:rsidRPr="00973AED">
        <w:rPr>
          <w:rStyle w:val="apple-style-span"/>
          <w:rFonts w:ascii="Times New Roman" w:hAnsi="Times New Roman"/>
          <w:color w:val="000000"/>
          <w:sz w:val="24"/>
          <w:szCs w:val="24"/>
        </w:rPr>
        <w:t xml:space="preserve"> 258-60.</w:t>
      </w:r>
    </w:p>
  </w:footnote>
  <w:footnote w:id="29">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Ibid, 220-225.</w:t>
      </w:r>
    </w:p>
  </w:footnote>
  <w:footnote w:id="30">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spellStart"/>
      <w:r w:rsidRPr="00973AED">
        <w:rPr>
          <w:rStyle w:val="apple-style-span"/>
          <w:rFonts w:ascii="Times New Roman" w:hAnsi="Times New Roman"/>
          <w:color w:val="000000"/>
          <w:sz w:val="24"/>
          <w:szCs w:val="24"/>
        </w:rPr>
        <w:t>Ziony</w:t>
      </w:r>
      <w:proofErr w:type="spellEnd"/>
      <w:r w:rsidRPr="00973AED">
        <w:rPr>
          <w:rStyle w:val="apple-style-span"/>
          <w:rFonts w:ascii="Times New Roman" w:hAnsi="Times New Roman"/>
          <w:color w:val="000000"/>
          <w:sz w:val="24"/>
          <w:szCs w:val="24"/>
        </w:rPr>
        <w:t xml:space="preserve"> </w:t>
      </w:r>
      <w:proofErr w:type="spellStart"/>
      <w:r w:rsidRPr="00973AED">
        <w:rPr>
          <w:rStyle w:val="apple-style-span"/>
          <w:rFonts w:ascii="Times New Roman" w:hAnsi="Times New Roman"/>
          <w:color w:val="000000"/>
          <w:sz w:val="24"/>
          <w:szCs w:val="24"/>
        </w:rPr>
        <w:t>Zevit</w:t>
      </w:r>
      <w:proofErr w:type="spellEnd"/>
      <w:r w:rsidRPr="00973AED">
        <w:rPr>
          <w:rStyle w:val="apple-style-span"/>
          <w:rFonts w:ascii="Times New Roman" w:hAnsi="Times New Roman"/>
          <w:color w:val="000000"/>
          <w:sz w:val="24"/>
          <w:szCs w:val="24"/>
        </w:rPr>
        <w:t>,</w:t>
      </w:r>
      <w:r w:rsidRPr="00973AED">
        <w:rPr>
          <w:rStyle w:val="apple-converted-space"/>
          <w:rFonts w:ascii="Times New Roman" w:hAnsi="Times New Roman"/>
          <w:color w:val="000000"/>
          <w:sz w:val="24"/>
          <w:szCs w:val="24"/>
        </w:rPr>
        <w:t> </w:t>
      </w:r>
      <w:proofErr w:type="gramStart"/>
      <w:r w:rsidRPr="00973AED">
        <w:rPr>
          <w:rFonts w:ascii="Times New Roman" w:hAnsi="Times New Roman"/>
          <w:i/>
          <w:iCs/>
          <w:color w:val="000000"/>
          <w:sz w:val="24"/>
          <w:szCs w:val="24"/>
        </w:rPr>
        <w:t>The</w:t>
      </w:r>
      <w:proofErr w:type="gramEnd"/>
      <w:r w:rsidRPr="00973AED">
        <w:rPr>
          <w:rFonts w:ascii="Times New Roman" w:hAnsi="Times New Roman"/>
          <w:i/>
          <w:iCs/>
          <w:color w:val="000000"/>
          <w:sz w:val="24"/>
          <w:szCs w:val="24"/>
        </w:rPr>
        <w:t xml:space="preserve"> Religions of Ancient Israel: A Synthesis of </w:t>
      </w:r>
      <w:proofErr w:type="spellStart"/>
      <w:r w:rsidRPr="00973AED">
        <w:rPr>
          <w:rFonts w:ascii="Times New Roman" w:hAnsi="Times New Roman"/>
          <w:i/>
          <w:iCs/>
          <w:color w:val="000000"/>
          <w:sz w:val="24"/>
          <w:szCs w:val="24"/>
        </w:rPr>
        <w:t>Parallactic</w:t>
      </w:r>
      <w:proofErr w:type="spellEnd"/>
      <w:r w:rsidRPr="00973AED">
        <w:rPr>
          <w:rFonts w:ascii="Times New Roman" w:hAnsi="Times New Roman"/>
          <w:i/>
          <w:iCs/>
          <w:color w:val="000000"/>
          <w:sz w:val="24"/>
          <w:szCs w:val="24"/>
        </w:rPr>
        <w:t xml:space="preserve"> Approaches</w:t>
      </w:r>
      <w:r w:rsidRPr="00973AED">
        <w:rPr>
          <w:rStyle w:val="apple-converted-space"/>
          <w:rFonts w:ascii="Times New Roman" w:hAnsi="Times New Roman"/>
          <w:color w:val="000000"/>
          <w:sz w:val="24"/>
          <w:szCs w:val="24"/>
        </w:rPr>
        <w:t> </w:t>
      </w:r>
      <w:r w:rsidRPr="00973AED">
        <w:rPr>
          <w:rStyle w:val="apple-style-span"/>
          <w:rFonts w:ascii="Times New Roman" w:hAnsi="Times New Roman"/>
          <w:color w:val="000000"/>
          <w:sz w:val="24"/>
          <w:szCs w:val="24"/>
        </w:rPr>
        <w:t>(London and New York: Continuum, 2001), 114.</w:t>
      </w:r>
    </w:p>
  </w:footnote>
  <w:footnote w:id="31">
    <w:p w:rsidR="001A6C34" w:rsidRPr="00973AED" w:rsidRDefault="001A6C34" w:rsidP="001A6C34">
      <w:pPr>
        <w:pStyle w:val="sdfootnote"/>
        <w:spacing w:before="0" w:beforeAutospacing="0"/>
        <w:ind w:left="0" w:firstLine="0"/>
        <w:rPr>
          <w:color w:val="000000"/>
          <w:sz w:val="24"/>
          <w:szCs w:val="24"/>
          <w:lang w:val="en-NZ"/>
        </w:rPr>
      </w:pPr>
      <w:r w:rsidRPr="00973AED">
        <w:rPr>
          <w:rStyle w:val="FootnoteReference"/>
          <w:color w:val="000000"/>
          <w:sz w:val="24"/>
          <w:szCs w:val="24"/>
        </w:rPr>
        <w:footnoteRef/>
      </w:r>
      <w:r w:rsidRPr="00973AED">
        <w:rPr>
          <w:color w:val="000000"/>
          <w:sz w:val="24"/>
          <w:szCs w:val="24"/>
        </w:rPr>
        <w:t xml:space="preserve"> Younger states: “As the ancient historian (whether Near Eastern, biblical, or otherwise) reconstructed "historical" referents into a coherent description, he produced a figurative account, a ‘re-presenting representation.’”  K. Lawson Younger Jr., “</w:t>
      </w:r>
      <w:r w:rsidRPr="00973AED">
        <w:rPr>
          <w:color w:val="000000"/>
          <w:sz w:val="24"/>
          <w:szCs w:val="24"/>
          <w:lang w:val="en-NZ"/>
        </w:rPr>
        <w:t xml:space="preserve">Judges 1 in its Near Eastern Literary Context,” in </w:t>
      </w:r>
      <w:r w:rsidRPr="00973AED">
        <w:rPr>
          <w:i/>
          <w:iCs/>
          <w:color w:val="000000"/>
          <w:sz w:val="24"/>
          <w:szCs w:val="24"/>
        </w:rPr>
        <w:t>Faith Tradition and History: Old Testament Historiography and its Ancient Near Eastern Context</w:t>
      </w:r>
      <w:r w:rsidRPr="00973AED">
        <w:rPr>
          <w:iCs/>
          <w:color w:val="000000"/>
          <w:sz w:val="24"/>
          <w:szCs w:val="24"/>
        </w:rPr>
        <w:t>, eds.</w:t>
      </w:r>
      <w:r w:rsidRPr="00973AED">
        <w:rPr>
          <w:i/>
          <w:iCs/>
          <w:color w:val="000000"/>
          <w:sz w:val="24"/>
          <w:szCs w:val="24"/>
        </w:rPr>
        <w:t xml:space="preserve"> </w:t>
      </w:r>
      <w:r w:rsidRPr="00973AED">
        <w:rPr>
          <w:color w:val="000000"/>
          <w:sz w:val="24"/>
          <w:szCs w:val="24"/>
          <w:lang w:val="en-NZ"/>
        </w:rPr>
        <w:t xml:space="preserve">A.R. Millard, J.K. </w:t>
      </w:r>
      <w:proofErr w:type="spellStart"/>
      <w:r w:rsidRPr="00973AED">
        <w:rPr>
          <w:color w:val="000000"/>
          <w:sz w:val="24"/>
          <w:szCs w:val="24"/>
          <w:lang w:val="en-NZ"/>
        </w:rPr>
        <w:t>Hoffmeier</w:t>
      </w:r>
      <w:proofErr w:type="spellEnd"/>
      <w:r w:rsidRPr="00973AED">
        <w:rPr>
          <w:color w:val="000000"/>
          <w:sz w:val="24"/>
          <w:szCs w:val="24"/>
          <w:lang w:val="en-NZ"/>
        </w:rPr>
        <w:t xml:space="preserve">, and D.W. Baker </w:t>
      </w:r>
      <w:r w:rsidRPr="00973AED">
        <w:rPr>
          <w:rStyle w:val="apple-style-span"/>
          <w:bCs/>
          <w:color w:val="000000"/>
          <w:sz w:val="24"/>
          <w:szCs w:val="24"/>
        </w:rPr>
        <w:t xml:space="preserve">(Winona Lake, IN: </w:t>
      </w:r>
      <w:proofErr w:type="spellStart"/>
      <w:r w:rsidRPr="00973AED">
        <w:rPr>
          <w:rStyle w:val="apple-style-span"/>
          <w:bCs/>
          <w:color w:val="000000"/>
          <w:sz w:val="24"/>
          <w:szCs w:val="24"/>
        </w:rPr>
        <w:t>Eisenbrauns</w:t>
      </w:r>
      <w:proofErr w:type="spellEnd"/>
      <w:r w:rsidRPr="00973AED">
        <w:rPr>
          <w:rStyle w:val="apple-style-span"/>
          <w:bCs/>
          <w:color w:val="000000"/>
          <w:sz w:val="24"/>
          <w:szCs w:val="24"/>
        </w:rPr>
        <w:t xml:space="preserve">, 1994), </w:t>
      </w:r>
      <w:r w:rsidRPr="00973AED">
        <w:rPr>
          <w:color w:val="000000"/>
          <w:sz w:val="24"/>
          <w:szCs w:val="24"/>
        </w:rPr>
        <w:t>207.  He also suggests such an historian functions as “a literary artist.”  He adds: “Ancient Near Eastern conquest accounts are figurative in three ways:  (1) the structural and ideological codes that are the apparatus for the text's production; (2) the themes or motifs that the text utilizes; and (3) the usage of rhetorical figures in the accounts” (ibid.).</w:t>
      </w:r>
    </w:p>
  </w:footnote>
  <w:footnote w:id="32">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Younger</w:t>
      </w:r>
      <w:r w:rsidRPr="00973AED">
        <w:rPr>
          <w:rStyle w:val="apple-style-span"/>
          <w:rFonts w:ascii="Times New Roman" w:hAnsi="Times New Roman"/>
          <w:color w:val="000000"/>
          <w:sz w:val="24"/>
          <w:szCs w:val="24"/>
        </w:rPr>
        <w:t xml:space="preserve">, </w:t>
      </w:r>
      <w:r w:rsidRPr="00973AED">
        <w:rPr>
          <w:rStyle w:val="apple-style-span"/>
          <w:rFonts w:ascii="Times New Roman" w:hAnsi="Times New Roman"/>
          <w:i/>
          <w:color w:val="000000"/>
          <w:sz w:val="24"/>
          <w:szCs w:val="24"/>
        </w:rPr>
        <w:t>Ancient Conquest Accounts</w:t>
      </w:r>
      <w:r w:rsidRPr="00973AED">
        <w:rPr>
          <w:rStyle w:val="apple-style-span"/>
          <w:rFonts w:ascii="Times New Roman" w:hAnsi="Times New Roman"/>
          <w:color w:val="000000"/>
          <w:sz w:val="24"/>
          <w:szCs w:val="24"/>
        </w:rPr>
        <w:t>, 208-11.</w:t>
      </w:r>
      <w:proofErr w:type="gramEnd"/>
    </w:p>
  </w:footnote>
  <w:footnote w:id="33">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Style w:val="apple-style-span"/>
          <w:rFonts w:ascii="Times New Roman" w:hAnsi="Times New Roman"/>
          <w:color w:val="000000"/>
          <w:sz w:val="24"/>
          <w:szCs w:val="24"/>
        </w:rPr>
        <w:t>Ibid.,</w:t>
      </w:r>
      <w:proofErr w:type="gramEnd"/>
      <w:r w:rsidRPr="00973AED">
        <w:rPr>
          <w:rStyle w:val="apple-style-span"/>
          <w:rFonts w:ascii="Times New Roman" w:hAnsi="Times New Roman"/>
          <w:color w:val="000000"/>
          <w:sz w:val="24"/>
          <w:szCs w:val="24"/>
        </w:rPr>
        <w:t xml:space="preserve"> 217.</w:t>
      </w:r>
    </w:p>
  </w:footnote>
  <w:footnote w:id="34">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lang w:val="en-NZ"/>
        </w:rPr>
        <w:t>Ibid.,</w:t>
      </w:r>
      <w:proofErr w:type="gramEnd"/>
      <w:r w:rsidRPr="00973AED">
        <w:rPr>
          <w:rFonts w:ascii="Times New Roman" w:hAnsi="Times New Roman"/>
          <w:color w:val="000000"/>
          <w:sz w:val="24"/>
          <w:szCs w:val="24"/>
          <w:lang w:val="en-NZ"/>
        </w:rPr>
        <w:t xml:space="preserve"> 219. For further discussion of the relationship between Joshua’s long day and other ancient Near Eastern texts, see John Walton, “Joshua 10:12-15 and Mesopotamian Celestial Omen Texts,” in </w:t>
      </w:r>
      <w:r w:rsidRPr="00973AED">
        <w:rPr>
          <w:rFonts w:ascii="Times New Roman" w:hAnsi="Times New Roman"/>
          <w:i/>
          <w:iCs/>
          <w:color w:val="000000"/>
          <w:sz w:val="24"/>
          <w:szCs w:val="24"/>
        </w:rPr>
        <w:t>Faith Tradition and History: Old Testament Historiography and its Ancient Near Eastern Context</w:t>
      </w:r>
      <w:r w:rsidRPr="00973AED">
        <w:rPr>
          <w:rFonts w:ascii="Times New Roman" w:hAnsi="Times New Roman"/>
          <w:iCs/>
          <w:color w:val="000000"/>
          <w:sz w:val="24"/>
          <w:szCs w:val="24"/>
        </w:rPr>
        <w:t>, eds.</w:t>
      </w:r>
      <w:r w:rsidRPr="00973AED">
        <w:rPr>
          <w:rFonts w:ascii="Times New Roman" w:hAnsi="Times New Roman"/>
          <w:i/>
          <w:iCs/>
          <w:color w:val="000000"/>
          <w:sz w:val="24"/>
          <w:szCs w:val="24"/>
        </w:rPr>
        <w:t xml:space="preserve"> </w:t>
      </w:r>
      <w:r w:rsidRPr="00973AED">
        <w:rPr>
          <w:rFonts w:ascii="Times New Roman" w:hAnsi="Times New Roman"/>
          <w:color w:val="000000"/>
          <w:sz w:val="24"/>
          <w:szCs w:val="24"/>
          <w:lang w:val="en-NZ"/>
        </w:rPr>
        <w:t xml:space="preserve">A.R. Millard, J.K. </w:t>
      </w:r>
      <w:proofErr w:type="spellStart"/>
      <w:r w:rsidRPr="00973AED">
        <w:rPr>
          <w:rFonts w:ascii="Times New Roman" w:hAnsi="Times New Roman"/>
          <w:color w:val="000000"/>
          <w:sz w:val="24"/>
          <w:szCs w:val="24"/>
          <w:lang w:val="en-NZ"/>
        </w:rPr>
        <w:t>Hoffmeier</w:t>
      </w:r>
      <w:proofErr w:type="spellEnd"/>
      <w:r w:rsidRPr="00973AED">
        <w:rPr>
          <w:rFonts w:ascii="Times New Roman" w:hAnsi="Times New Roman"/>
          <w:color w:val="000000"/>
          <w:sz w:val="24"/>
          <w:szCs w:val="24"/>
          <w:lang w:val="en-NZ"/>
        </w:rPr>
        <w:t xml:space="preserve">, and D.W. Baker </w:t>
      </w:r>
      <w:r w:rsidRPr="00973AED">
        <w:rPr>
          <w:rStyle w:val="apple-style-span"/>
          <w:rFonts w:ascii="Times New Roman" w:hAnsi="Times New Roman"/>
          <w:bCs/>
          <w:color w:val="000000"/>
          <w:sz w:val="24"/>
          <w:szCs w:val="24"/>
        </w:rPr>
        <w:t xml:space="preserve">(Winona Lake, IN: </w:t>
      </w:r>
      <w:proofErr w:type="spellStart"/>
      <w:r w:rsidRPr="00973AED">
        <w:rPr>
          <w:rStyle w:val="apple-style-span"/>
          <w:rFonts w:ascii="Times New Roman" w:hAnsi="Times New Roman"/>
          <w:bCs/>
          <w:color w:val="000000"/>
          <w:sz w:val="24"/>
          <w:szCs w:val="24"/>
        </w:rPr>
        <w:t>Eisenbrauns</w:t>
      </w:r>
      <w:proofErr w:type="spellEnd"/>
      <w:r w:rsidRPr="00973AED">
        <w:rPr>
          <w:rStyle w:val="apple-style-span"/>
          <w:rFonts w:ascii="Times New Roman" w:hAnsi="Times New Roman"/>
          <w:bCs/>
          <w:color w:val="000000"/>
          <w:sz w:val="24"/>
          <w:szCs w:val="24"/>
        </w:rPr>
        <w:t>, 1994), 181-90.</w:t>
      </w:r>
    </w:p>
  </w:footnote>
  <w:footnote w:id="35">
    <w:p w:rsidR="001A6C34" w:rsidRPr="00973AED" w:rsidRDefault="001A6C34" w:rsidP="001A6C34">
      <w:pPr>
        <w:pStyle w:val="PlainText"/>
        <w:rPr>
          <w:rFonts w:ascii="Times New Roman" w:hAnsi="Times New Roman" w:cs="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s="Times New Roman"/>
          <w:color w:val="000000"/>
          <w:sz w:val="24"/>
          <w:szCs w:val="24"/>
        </w:rPr>
        <w:t xml:space="preserve"> </w:t>
      </w:r>
      <w:r w:rsidRPr="00973AED">
        <w:rPr>
          <w:rFonts w:ascii="Times New Roman" w:hAnsi="Times New Roman" w:cs="Times New Roman"/>
          <w:color w:val="000000"/>
          <w:sz w:val="24"/>
          <w:szCs w:val="24"/>
          <w:lang w:val="en-NZ"/>
        </w:rPr>
        <w:t>Richard Hess, “</w:t>
      </w:r>
      <w:r w:rsidRPr="00973AED">
        <w:rPr>
          <w:rFonts w:ascii="Times New Roman" w:hAnsi="Times New Roman" w:cs="Times New Roman"/>
          <w:color w:val="000000"/>
          <w:sz w:val="24"/>
          <w:szCs w:val="24"/>
        </w:rPr>
        <w:t>West Semitic Texts and the Book of Joshua,”</w:t>
      </w:r>
      <w:r w:rsidRPr="00973AED">
        <w:rPr>
          <w:rFonts w:ascii="Times New Roman" w:hAnsi="Times New Roman" w:cs="Times New Roman"/>
          <w:color w:val="000000"/>
          <w:sz w:val="24"/>
          <w:szCs w:val="24"/>
          <w:lang w:val="en-NZ"/>
        </w:rPr>
        <w:t xml:space="preserve"> </w:t>
      </w:r>
      <w:r w:rsidRPr="00973AED">
        <w:rPr>
          <w:rFonts w:ascii="Times New Roman" w:hAnsi="Times New Roman" w:cs="Times New Roman"/>
          <w:i/>
          <w:color w:val="000000"/>
          <w:sz w:val="24"/>
          <w:szCs w:val="24"/>
        </w:rPr>
        <w:t>Bulletin for Biblical Research</w:t>
      </w:r>
      <w:r w:rsidRPr="00973AED">
        <w:rPr>
          <w:rFonts w:ascii="Times New Roman" w:hAnsi="Times New Roman" w:cs="Times New Roman"/>
          <w:color w:val="000000"/>
          <w:sz w:val="24"/>
          <w:szCs w:val="24"/>
        </w:rPr>
        <w:t xml:space="preserve"> 7 (1997): </w:t>
      </w:r>
      <w:r w:rsidRPr="00973AED">
        <w:rPr>
          <w:rFonts w:ascii="Times New Roman" w:hAnsi="Times New Roman" w:cs="Times New Roman"/>
          <w:color w:val="000000"/>
          <w:sz w:val="24"/>
          <w:szCs w:val="24"/>
          <w:lang w:val="en-NZ"/>
        </w:rPr>
        <w:t>68.</w:t>
      </w:r>
    </w:p>
  </w:footnote>
  <w:footnote w:id="36">
    <w:p w:rsidR="001A6C34" w:rsidRPr="00973AED" w:rsidRDefault="001A6C34" w:rsidP="001A6C34">
      <w:pPr>
        <w:pStyle w:val="FootnoteText"/>
        <w:rPr>
          <w:rFonts w:ascii="Times New Roman" w:hAnsi="Times New Roman"/>
          <w:b/>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Younger</w:t>
      </w:r>
      <w:r w:rsidRPr="00973AED">
        <w:rPr>
          <w:rStyle w:val="apple-style-span"/>
          <w:rFonts w:ascii="Times New Roman" w:hAnsi="Times New Roman"/>
          <w:color w:val="000000"/>
          <w:sz w:val="24"/>
          <w:szCs w:val="24"/>
        </w:rPr>
        <w:t xml:space="preserve">, </w:t>
      </w:r>
      <w:r w:rsidRPr="00973AED">
        <w:rPr>
          <w:rStyle w:val="apple-style-span"/>
          <w:rFonts w:ascii="Times New Roman" w:hAnsi="Times New Roman"/>
          <w:i/>
          <w:color w:val="000000"/>
          <w:sz w:val="24"/>
          <w:szCs w:val="24"/>
        </w:rPr>
        <w:t>Ancient Conquest Accounts</w:t>
      </w:r>
      <w:r w:rsidRPr="00973AED">
        <w:rPr>
          <w:rStyle w:val="apple-style-span"/>
          <w:rFonts w:ascii="Times New Roman" w:hAnsi="Times New Roman"/>
          <w:color w:val="000000"/>
          <w:sz w:val="24"/>
          <w:szCs w:val="24"/>
        </w:rPr>
        <w:t xml:space="preserve">, </w:t>
      </w:r>
      <w:r w:rsidRPr="00973AED">
        <w:rPr>
          <w:rFonts w:ascii="Times New Roman" w:hAnsi="Times New Roman"/>
          <w:color w:val="000000"/>
          <w:sz w:val="24"/>
          <w:szCs w:val="24"/>
          <w:lang w:val="en-NZ"/>
        </w:rPr>
        <w:t>211.</w:t>
      </w:r>
      <w:proofErr w:type="gramEnd"/>
    </w:p>
  </w:footnote>
  <w:footnote w:id="37">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Style w:val="apple-style-span"/>
          <w:rFonts w:ascii="Times New Roman" w:hAnsi="Times New Roman"/>
          <w:color w:val="000000"/>
          <w:sz w:val="24"/>
          <w:szCs w:val="24"/>
        </w:rPr>
        <w:t>Kitchen</w:t>
      </w:r>
      <w:r w:rsidRPr="00973AED">
        <w:rPr>
          <w:rStyle w:val="apple-converted-space"/>
          <w:rFonts w:ascii="Times New Roman" w:hAnsi="Times New Roman"/>
          <w:color w:val="000000"/>
          <w:sz w:val="24"/>
          <w:szCs w:val="24"/>
        </w:rPr>
        <w:t xml:space="preserve">, </w:t>
      </w:r>
      <w:r w:rsidRPr="00973AED">
        <w:rPr>
          <w:rStyle w:val="apple-converted-space"/>
          <w:rFonts w:ascii="Times New Roman" w:hAnsi="Times New Roman"/>
          <w:i/>
          <w:color w:val="000000"/>
          <w:sz w:val="24"/>
          <w:szCs w:val="24"/>
        </w:rPr>
        <w:t>Reliability of the Old Testament</w:t>
      </w:r>
      <w:r w:rsidRPr="00973AED">
        <w:rPr>
          <w:rStyle w:val="apple-converted-space"/>
          <w:rFonts w:ascii="Times New Roman" w:hAnsi="Times New Roman"/>
          <w:color w:val="000000"/>
          <w:sz w:val="24"/>
          <w:szCs w:val="24"/>
        </w:rPr>
        <w:t>,</w:t>
      </w:r>
      <w:r w:rsidRPr="00973AED">
        <w:rPr>
          <w:rStyle w:val="apple-style-span"/>
          <w:rFonts w:ascii="Times New Roman" w:hAnsi="Times New Roman"/>
          <w:color w:val="000000"/>
          <w:sz w:val="24"/>
          <w:szCs w:val="24"/>
        </w:rPr>
        <w:t xml:space="preserve"> 174.</w:t>
      </w:r>
      <w:proofErr w:type="gramEnd"/>
    </w:p>
  </w:footnote>
  <w:footnote w:id="38">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Younger</w:t>
      </w:r>
      <w:r w:rsidRPr="00973AED">
        <w:rPr>
          <w:rStyle w:val="apple-style-span"/>
          <w:rFonts w:ascii="Times New Roman" w:hAnsi="Times New Roman"/>
          <w:color w:val="000000"/>
          <w:sz w:val="24"/>
          <w:szCs w:val="24"/>
        </w:rPr>
        <w:t xml:space="preserve">, </w:t>
      </w:r>
      <w:r w:rsidRPr="00973AED">
        <w:rPr>
          <w:rStyle w:val="apple-style-span"/>
          <w:rFonts w:ascii="Times New Roman" w:hAnsi="Times New Roman"/>
          <w:i/>
          <w:color w:val="000000"/>
          <w:sz w:val="24"/>
          <w:szCs w:val="24"/>
        </w:rPr>
        <w:t>Ancient Warfare Accounts</w:t>
      </w:r>
      <w:r w:rsidRPr="00973AED">
        <w:rPr>
          <w:rStyle w:val="apple-style-span"/>
          <w:rFonts w:ascii="Times New Roman" w:hAnsi="Times New Roman"/>
          <w:color w:val="000000"/>
          <w:sz w:val="24"/>
          <w:szCs w:val="24"/>
        </w:rPr>
        <w:t>, 227.</w:t>
      </w:r>
      <w:proofErr w:type="gramEnd"/>
    </w:p>
  </w:footnote>
  <w:footnote w:id="39">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Style w:val="apple-style-span"/>
          <w:rFonts w:ascii="Times New Roman" w:hAnsi="Times New Roman"/>
          <w:color w:val="000000"/>
          <w:sz w:val="24"/>
          <w:szCs w:val="24"/>
        </w:rPr>
        <w:t>Ibid, 228.</w:t>
      </w:r>
      <w:proofErr w:type="gramEnd"/>
    </w:p>
  </w:footnote>
  <w:footnote w:id="40">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Ibid.</w:t>
      </w:r>
    </w:p>
  </w:footnote>
  <w:footnote w:id="41">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rPr>
        <w:t>Ibid, 227.</w:t>
      </w:r>
      <w:proofErr w:type="gramEnd"/>
    </w:p>
  </w:footnote>
  <w:footnote w:id="42">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Ibid, 245 (emphasis added).</w:t>
      </w:r>
    </w:p>
  </w:footnote>
  <w:footnote w:id="43">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In addition, both Kitchen and Younger observe that such hyperbolic language is used in several places within the book of Joshua itself.  Joshua 10:20, for example, states that Joshua and the sons of Israel had “finished destroying” and “completely destroyed” their enemies.  Immediately, however, the text affirms that the “survivors went to fortified cities.”  In this context, the language of total destruction is clearly hyperbolic. Similarly, the account of the battle of Ai is clearly hyperbolic. After Joshua’s troops feign a retreat</w:t>
      </w:r>
      <w:r>
        <w:rPr>
          <w:rFonts w:ascii="Times New Roman" w:hAnsi="Times New Roman"/>
          <w:color w:val="000000"/>
          <w:sz w:val="24"/>
          <w:szCs w:val="24"/>
        </w:rPr>
        <w:t>,</w:t>
      </w:r>
      <w:r w:rsidRPr="00973AED">
        <w:rPr>
          <w:rFonts w:ascii="Times New Roman" w:hAnsi="Times New Roman"/>
          <w:color w:val="000000"/>
          <w:sz w:val="24"/>
          <w:szCs w:val="24"/>
        </w:rPr>
        <w:t xml:space="preserve"> the text states that “all the men of Ai” are pressed to chase them.  “Not a man remained in Ai or Bethel who did not go after Israel.  They left the city open and went in pursuit of Israel.” Joshua lures the pursuers into a trap “so that they were caught in the middle, with Israelites on both sides. Israel cut them down, leaving them neither survivors nor fugitives.”  Then the text immediately following states: “When Israel had finished killing all the men of Ai in the fields and in the desert where they had chased them, and when every one of them had been put to the sword,” they went to the city of Ai and killed all the men in it.</w:t>
      </w:r>
    </w:p>
  </w:footnote>
  <w:footnote w:id="44">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 xml:space="preserve">Thomas Thompson examines several different ancient Near Eastern conquest accounts of this type and notes they have a hagiographic function. See his “A Testimony of the Good King: Reading the </w:t>
      </w:r>
      <w:proofErr w:type="spellStart"/>
      <w:r w:rsidRPr="00973AED">
        <w:rPr>
          <w:rFonts w:ascii="Times New Roman" w:hAnsi="Times New Roman"/>
          <w:color w:val="000000"/>
          <w:sz w:val="24"/>
          <w:szCs w:val="24"/>
          <w:lang w:val="en-NZ"/>
        </w:rPr>
        <w:t>Mesha</w:t>
      </w:r>
      <w:proofErr w:type="spellEnd"/>
      <w:r w:rsidRPr="00973AED">
        <w:rPr>
          <w:rFonts w:ascii="Times New Roman" w:hAnsi="Times New Roman"/>
          <w:color w:val="000000"/>
          <w:sz w:val="24"/>
          <w:szCs w:val="24"/>
          <w:lang w:val="en-NZ"/>
        </w:rPr>
        <w:t xml:space="preserve"> Stele” in Lester L. </w:t>
      </w:r>
      <w:proofErr w:type="spellStart"/>
      <w:r w:rsidRPr="00973AED">
        <w:rPr>
          <w:rFonts w:ascii="Times New Roman" w:hAnsi="Times New Roman"/>
          <w:color w:val="000000"/>
          <w:sz w:val="24"/>
          <w:szCs w:val="24"/>
          <w:lang w:val="en-NZ"/>
        </w:rPr>
        <w:t>Grabbe</w:t>
      </w:r>
      <w:proofErr w:type="spellEnd"/>
      <w:r w:rsidRPr="00973AED">
        <w:rPr>
          <w:rFonts w:ascii="Times New Roman" w:hAnsi="Times New Roman"/>
          <w:color w:val="000000"/>
          <w:sz w:val="24"/>
          <w:szCs w:val="24"/>
          <w:lang w:val="en-NZ"/>
        </w:rPr>
        <w:t xml:space="preserve">, ed., </w:t>
      </w:r>
      <w:r w:rsidRPr="00973AED">
        <w:rPr>
          <w:rFonts w:ascii="Times New Roman" w:hAnsi="Times New Roman"/>
          <w:i/>
          <w:color w:val="000000"/>
          <w:sz w:val="24"/>
          <w:szCs w:val="24"/>
          <w:lang w:val="en-NZ"/>
        </w:rPr>
        <w:t xml:space="preserve">Ahab </w:t>
      </w:r>
      <w:proofErr w:type="spellStart"/>
      <w:r w:rsidRPr="00973AED">
        <w:rPr>
          <w:rFonts w:ascii="Times New Roman" w:hAnsi="Times New Roman"/>
          <w:i/>
          <w:color w:val="000000"/>
          <w:sz w:val="24"/>
          <w:szCs w:val="24"/>
          <w:lang w:val="en-NZ"/>
        </w:rPr>
        <w:t>Agonistes</w:t>
      </w:r>
      <w:proofErr w:type="spellEnd"/>
      <w:r w:rsidRPr="00973AED">
        <w:rPr>
          <w:rFonts w:ascii="Times New Roman" w:hAnsi="Times New Roman"/>
          <w:i/>
          <w:color w:val="000000"/>
          <w:sz w:val="24"/>
          <w:szCs w:val="24"/>
          <w:lang w:val="en-NZ"/>
        </w:rPr>
        <w:t xml:space="preserve">: The Rise and </w:t>
      </w:r>
      <w:proofErr w:type="gramStart"/>
      <w:r w:rsidRPr="00973AED">
        <w:rPr>
          <w:rFonts w:ascii="Times New Roman" w:hAnsi="Times New Roman"/>
          <w:i/>
          <w:color w:val="000000"/>
          <w:sz w:val="24"/>
          <w:szCs w:val="24"/>
          <w:lang w:val="en-NZ"/>
        </w:rPr>
        <w:t>Fall</w:t>
      </w:r>
      <w:proofErr w:type="gramEnd"/>
      <w:r w:rsidRPr="00973AED">
        <w:rPr>
          <w:rFonts w:ascii="Times New Roman" w:hAnsi="Times New Roman"/>
          <w:i/>
          <w:color w:val="000000"/>
          <w:sz w:val="24"/>
          <w:szCs w:val="24"/>
          <w:lang w:val="en-NZ"/>
        </w:rPr>
        <w:t xml:space="preserve"> of the </w:t>
      </w:r>
      <w:proofErr w:type="spellStart"/>
      <w:r w:rsidRPr="00973AED">
        <w:rPr>
          <w:rFonts w:ascii="Times New Roman" w:hAnsi="Times New Roman"/>
          <w:i/>
          <w:color w:val="000000"/>
          <w:sz w:val="24"/>
          <w:szCs w:val="24"/>
          <w:lang w:val="en-NZ"/>
        </w:rPr>
        <w:t>Omri</w:t>
      </w:r>
      <w:proofErr w:type="spellEnd"/>
      <w:r w:rsidRPr="00973AED">
        <w:rPr>
          <w:rFonts w:ascii="Times New Roman" w:hAnsi="Times New Roman"/>
          <w:i/>
          <w:color w:val="000000"/>
          <w:sz w:val="24"/>
          <w:szCs w:val="24"/>
          <w:lang w:val="en-NZ"/>
        </w:rPr>
        <w:t xml:space="preserve"> Dynasty</w:t>
      </w:r>
      <w:r w:rsidRPr="00973AED">
        <w:rPr>
          <w:rFonts w:ascii="Times New Roman" w:hAnsi="Times New Roman"/>
          <w:color w:val="000000"/>
          <w:sz w:val="24"/>
          <w:szCs w:val="24"/>
          <w:lang w:val="en-NZ"/>
        </w:rPr>
        <w:t xml:space="preserve"> (Edinburgh: T&amp;T Clark, 2007).</w:t>
      </w:r>
    </w:p>
  </w:footnote>
  <w:footnote w:id="45">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spellStart"/>
      <w:r w:rsidRPr="00973AED">
        <w:rPr>
          <w:rFonts w:ascii="Times New Roman" w:hAnsi="Times New Roman"/>
          <w:color w:val="000000"/>
          <w:sz w:val="24"/>
          <w:szCs w:val="24"/>
        </w:rPr>
        <w:t>Goldingay</w:t>
      </w:r>
      <w:proofErr w:type="spellEnd"/>
      <w:r w:rsidRPr="00973AED">
        <w:rPr>
          <w:rFonts w:ascii="Times New Roman" w:hAnsi="Times New Roman"/>
          <w:color w:val="000000"/>
          <w:sz w:val="24"/>
          <w:szCs w:val="24"/>
        </w:rPr>
        <w:t xml:space="preserve"> goes on to give yet another example from within the Bible itself “While Joshua does speak of Israel’s utterly destroying the Canaanites, even these accounts can give a misleading impression: peoples that have been annihilated have no trouble reappearing later in the story; after Judah puts Jerusalem to the sword, its occupants are still living there ‘to this day’ (Judg. 1:8, 21).” See his “City and Nation” in </w:t>
      </w:r>
      <w:r w:rsidRPr="00973AED">
        <w:rPr>
          <w:rFonts w:ascii="Times New Roman" w:hAnsi="Times New Roman"/>
          <w:i/>
          <w:color w:val="000000"/>
          <w:sz w:val="24"/>
          <w:szCs w:val="24"/>
        </w:rPr>
        <w:t>Old Testament Theology</w:t>
      </w:r>
      <w:r w:rsidRPr="00973AED">
        <w:rPr>
          <w:rFonts w:ascii="Times New Roman" w:hAnsi="Times New Roman"/>
          <w:color w:val="000000"/>
          <w:sz w:val="24"/>
          <w:szCs w:val="24"/>
        </w:rPr>
        <w:t>,</w:t>
      </w:r>
      <w:r w:rsidRPr="00973AED">
        <w:rPr>
          <w:rFonts w:ascii="Times New Roman" w:hAnsi="Times New Roman"/>
          <w:i/>
          <w:color w:val="000000"/>
          <w:sz w:val="24"/>
          <w:szCs w:val="24"/>
        </w:rPr>
        <w:t xml:space="preserve"> </w:t>
      </w:r>
      <w:r w:rsidRPr="00973AED">
        <w:rPr>
          <w:rFonts w:ascii="Times New Roman" w:hAnsi="Times New Roman"/>
          <w:color w:val="000000"/>
          <w:sz w:val="24"/>
          <w:szCs w:val="24"/>
        </w:rPr>
        <w:t xml:space="preserve">vol. 3 (Downers Grove, IL: </w:t>
      </w:r>
      <w:proofErr w:type="spellStart"/>
      <w:r w:rsidRPr="00973AED">
        <w:rPr>
          <w:rFonts w:ascii="Times New Roman" w:hAnsi="Times New Roman"/>
          <w:color w:val="000000"/>
          <w:sz w:val="24"/>
          <w:szCs w:val="24"/>
        </w:rPr>
        <w:t>InterVarsity</w:t>
      </w:r>
      <w:proofErr w:type="spellEnd"/>
      <w:r w:rsidRPr="00973AED">
        <w:rPr>
          <w:rFonts w:ascii="Times New Roman" w:hAnsi="Times New Roman"/>
          <w:color w:val="000000"/>
          <w:sz w:val="24"/>
          <w:szCs w:val="24"/>
        </w:rPr>
        <w:t>, 2009), 570.</w:t>
      </w:r>
    </w:p>
  </w:footnote>
  <w:footnote w:id="46">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 xml:space="preserve">K. Lawson Younger Jr., “Joshua,” in </w:t>
      </w:r>
      <w:proofErr w:type="gramStart"/>
      <w:r w:rsidRPr="00973AED">
        <w:rPr>
          <w:rFonts w:ascii="Times New Roman" w:hAnsi="Times New Roman"/>
          <w:i/>
          <w:color w:val="000000"/>
          <w:sz w:val="24"/>
          <w:szCs w:val="24"/>
          <w:lang w:val="en-NZ"/>
        </w:rPr>
        <w:t>The</w:t>
      </w:r>
      <w:proofErr w:type="gramEnd"/>
      <w:r w:rsidRPr="00973AED">
        <w:rPr>
          <w:rFonts w:ascii="Times New Roman" w:hAnsi="Times New Roman"/>
          <w:i/>
          <w:color w:val="000000"/>
          <w:sz w:val="24"/>
          <w:szCs w:val="24"/>
          <w:lang w:val="en-NZ"/>
        </w:rPr>
        <w:t xml:space="preserve"> IVP Bible Background Commentary: Old Testament</w:t>
      </w:r>
      <w:r w:rsidRPr="00973AED">
        <w:rPr>
          <w:rFonts w:ascii="Times New Roman" w:hAnsi="Times New Roman"/>
          <w:color w:val="000000"/>
          <w:sz w:val="24"/>
          <w:szCs w:val="24"/>
          <w:lang w:val="en-NZ"/>
        </w:rPr>
        <w:t>, eds.</w:t>
      </w:r>
      <w:r w:rsidRPr="00973AED">
        <w:rPr>
          <w:rFonts w:ascii="Times New Roman" w:hAnsi="Times New Roman"/>
          <w:i/>
          <w:color w:val="000000"/>
          <w:sz w:val="24"/>
          <w:szCs w:val="24"/>
          <w:lang w:val="en-NZ"/>
        </w:rPr>
        <w:t xml:space="preserve"> </w:t>
      </w:r>
      <w:r w:rsidRPr="00973AED">
        <w:rPr>
          <w:rFonts w:ascii="Times New Roman" w:hAnsi="Times New Roman"/>
          <w:color w:val="000000"/>
          <w:sz w:val="24"/>
          <w:szCs w:val="24"/>
          <w:lang w:val="en-NZ"/>
        </w:rPr>
        <w:t xml:space="preserve">John H. Walton, Victor H. Matthews, and Mark W. </w:t>
      </w:r>
      <w:proofErr w:type="spellStart"/>
      <w:r w:rsidRPr="00973AED">
        <w:rPr>
          <w:rFonts w:ascii="Times New Roman" w:hAnsi="Times New Roman"/>
          <w:color w:val="000000"/>
          <w:sz w:val="24"/>
          <w:szCs w:val="24"/>
          <w:lang w:val="en-NZ"/>
        </w:rPr>
        <w:t>Chavalas</w:t>
      </w:r>
      <w:proofErr w:type="spellEnd"/>
      <w:r w:rsidRPr="00973AED">
        <w:rPr>
          <w:rFonts w:ascii="Times New Roman" w:hAnsi="Times New Roman"/>
          <w:color w:val="000000"/>
          <w:sz w:val="24"/>
          <w:szCs w:val="24"/>
          <w:lang w:val="en-NZ"/>
        </w:rPr>
        <w:t xml:space="preserve"> (Downers Grove IL: </w:t>
      </w:r>
      <w:proofErr w:type="spellStart"/>
      <w:r w:rsidRPr="00973AED">
        <w:rPr>
          <w:rFonts w:ascii="Times New Roman" w:hAnsi="Times New Roman"/>
          <w:color w:val="000000"/>
          <w:sz w:val="24"/>
          <w:szCs w:val="24"/>
          <w:lang w:val="en-NZ"/>
        </w:rPr>
        <w:t>InterVarsity</w:t>
      </w:r>
      <w:proofErr w:type="spellEnd"/>
      <w:r w:rsidRPr="00973AED">
        <w:rPr>
          <w:rFonts w:ascii="Times New Roman" w:hAnsi="Times New Roman"/>
          <w:color w:val="000000"/>
          <w:sz w:val="24"/>
          <w:szCs w:val="24"/>
          <w:lang w:val="en-NZ"/>
        </w:rPr>
        <w:t xml:space="preserve"> Press, 2000), 227.</w:t>
      </w:r>
    </w:p>
  </w:footnote>
  <w:footnote w:id="47">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proofErr w:type="gramStart"/>
      <w:r w:rsidRPr="00973AED">
        <w:rPr>
          <w:rFonts w:ascii="Times New Roman" w:hAnsi="Times New Roman"/>
          <w:color w:val="000000"/>
          <w:sz w:val="24"/>
          <w:szCs w:val="24"/>
          <w:lang w:val="en-NZ"/>
        </w:rPr>
        <w:t>Wolterstorff, “Reading Joshua,” 252.</w:t>
      </w:r>
      <w:proofErr w:type="gramEnd"/>
    </w:p>
  </w:footnote>
  <w:footnote w:id="48">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Style w:val="apple-style-span"/>
          <w:rFonts w:ascii="Times New Roman" w:hAnsi="Times New Roman"/>
          <w:color w:val="000000"/>
          <w:sz w:val="24"/>
          <w:szCs w:val="24"/>
        </w:rPr>
        <w:t>Gordon Wenham “</w:t>
      </w:r>
      <w:proofErr w:type="spellStart"/>
      <w:r w:rsidRPr="00973AED">
        <w:rPr>
          <w:rStyle w:val="apple-style-span"/>
          <w:rFonts w:ascii="Times New Roman" w:hAnsi="Times New Roman"/>
          <w:color w:val="000000"/>
          <w:sz w:val="24"/>
          <w:szCs w:val="24"/>
        </w:rPr>
        <w:t>Bethulah</w:t>
      </w:r>
      <w:proofErr w:type="spellEnd"/>
      <w:r w:rsidRPr="00973AED">
        <w:rPr>
          <w:rStyle w:val="apple-style-span"/>
          <w:rFonts w:ascii="Times New Roman" w:hAnsi="Times New Roman"/>
          <w:color w:val="000000"/>
          <w:sz w:val="24"/>
          <w:szCs w:val="24"/>
        </w:rPr>
        <w:t>: A Girl of Marriageable Age”</w:t>
      </w:r>
      <w:r w:rsidRPr="00973AED">
        <w:rPr>
          <w:rStyle w:val="apple-converted-space"/>
          <w:rFonts w:ascii="Times New Roman" w:hAnsi="Times New Roman"/>
          <w:color w:val="000000"/>
          <w:sz w:val="24"/>
          <w:szCs w:val="24"/>
        </w:rPr>
        <w:t> </w:t>
      </w:r>
      <w:proofErr w:type="spellStart"/>
      <w:r w:rsidRPr="00973AED">
        <w:rPr>
          <w:rStyle w:val="apple-style-span"/>
          <w:rFonts w:ascii="Times New Roman" w:hAnsi="Times New Roman"/>
          <w:i/>
          <w:iCs/>
          <w:color w:val="000000"/>
          <w:sz w:val="24"/>
          <w:szCs w:val="24"/>
        </w:rPr>
        <w:t>Vetus</w:t>
      </w:r>
      <w:proofErr w:type="spellEnd"/>
      <w:r w:rsidRPr="00973AED">
        <w:rPr>
          <w:rStyle w:val="apple-style-span"/>
          <w:rFonts w:ascii="Times New Roman" w:hAnsi="Times New Roman"/>
          <w:i/>
          <w:iCs/>
          <w:color w:val="000000"/>
          <w:sz w:val="24"/>
          <w:szCs w:val="24"/>
        </w:rPr>
        <w:t xml:space="preserve"> </w:t>
      </w:r>
      <w:proofErr w:type="spellStart"/>
      <w:r w:rsidRPr="00973AED">
        <w:rPr>
          <w:rStyle w:val="apple-style-span"/>
          <w:rFonts w:ascii="Times New Roman" w:hAnsi="Times New Roman"/>
          <w:i/>
          <w:iCs/>
          <w:color w:val="000000"/>
          <w:sz w:val="24"/>
          <w:szCs w:val="24"/>
        </w:rPr>
        <w:t>Testamentum</w:t>
      </w:r>
      <w:proofErr w:type="spellEnd"/>
      <w:r w:rsidRPr="00973AED">
        <w:rPr>
          <w:rStyle w:val="apple-converted-space"/>
          <w:rFonts w:ascii="Times New Roman" w:hAnsi="Times New Roman"/>
          <w:color w:val="000000"/>
          <w:sz w:val="24"/>
          <w:szCs w:val="24"/>
        </w:rPr>
        <w:t> </w:t>
      </w:r>
      <w:r w:rsidRPr="00973AED">
        <w:rPr>
          <w:rStyle w:val="apple-style-span"/>
          <w:rFonts w:ascii="Times New Roman" w:hAnsi="Times New Roman"/>
          <w:color w:val="000000"/>
          <w:sz w:val="24"/>
          <w:szCs w:val="24"/>
        </w:rPr>
        <w:t>22 (1972): 326-48.</w:t>
      </w:r>
    </w:p>
  </w:footnote>
  <w:footnote w:id="49">
    <w:p w:rsidR="001A6C34" w:rsidRPr="00973AED" w:rsidRDefault="001A6C34" w:rsidP="001A6C34">
      <w:pPr>
        <w:tabs>
          <w:tab w:val="left" w:pos="994"/>
          <w:tab w:val="left" w:pos="1988"/>
          <w:tab w:val="left" w:pos="2982"/>
          <w:tab w:val="left" w:pos="3976"/>
          <w:tab w:val="left" w:pos="4970"/>
          <w:tab w:val="left" w:pos="5964"/>
          <w:tab w:val="left" w:pos="6958"/>
        </w:tabs>
        <w:spacing w:after="0"/>
        <w:rPr>
          <w:rFonts w:ascii="Times New Roman" w:hAnsi="Times New Roman" w:cs="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s="Times New Roman"/>
          <w:color w:val="000000"/>
          <w:sz w:val="24"/>
          <w:szCs w:val="24"/>
        </w:rPr>
        <w:t xml:space="preserve"> </w:t>
      </w:r>
      <w:r w:rsidRPr="00973AED">
        <w:rPr>
          <w:rFonts w:ascii="Times New Roman" w:hAnsi="Times New Roman" w:cs="Times New Roman"/>
          <w:color w:val="000000"/>
          <w:sz w:val="24"/>
          <w:szCs w:val="24"/>
          <w:lang w:eastAsia="ja-JP"/>
        </w:rPr>
        <w:t xml:space="preserve">J.P.U. Lilley “Understanding the </w:t>
      </w:r>
      <w:proofErr w:type="spellStart"/>
      <w:r w:rsidRPr="00973AED">
        <w:rPr>
          <w:rFonts w:ascii="Times New Roman" w:hAnsi="Times New Roman" w:cs="Times New Roman"/>
          <w:color w:val="000000"/>
          <w:sz w:val="24"/>
          <w:szCs w:val="24"/>
          <w:lang w:eastAsia="ja-JP"/>
        </w:rPr>
        <w:t>Herem</w:t>
      </w:r>
      <w:proofErr w:type="spellEnd"/>
      <w:r w:rsidRPr="00973AED">
        <w:rPr>
          <w:rFonts w:ascii="Times New Roman" w:hAnsi="Times New Roman" w:cs="Times New Roman"/>
          <w:color w:val="000000"/>
          <w:sz w:val="24"/>
          <w:szCs w:val="24"/>
          <w:lang w:eastAsia="ja-JP"/>
        </w:rPr>
        <w:t xml:space="preserve">” </w:t>
      </w:r>
      <w:r w:rsidRPr="00973AED">
        <w:rPr>
          <w:rFonts w:ascii="Times New Roman" w:hAnsi="Times New Roman" w:cs="Times New Roman"/>
          <w:i/>
          <w:color w:val="000000"/>
          <w:sz w:val="24"/>
          <w:szCs w:val="24"/>
          <w:lang w:eastAsia="ja-JP"/>
        </w:rPr>
        <w:t>Tyndale Bulletin</w:t>
      </w:r>
      <w:r w:rsidRPr="00973AED">
        <w:rPr>
          <w:rFonts w:ascii="Times New Roman" w:hAnsi="Times New Roman" w:cs="Times New Roman"/>
          <w:color w:val="000000"/>
          <w:sz w:val="24"/>
          <w:szCs w:val="24"/>
          <w:lang w:eastAsia="ja-JP"/>
        </w:rPr>
        <w:t xml:space="preserve"> 44 (1993):  170-73.</w:t>
      </w:r>
    </w:p>
  </w:footnote>
  <w:footnote w:id="50">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Deuteronomy 7:2-4.</w:t>
      </w:r>
    </w:p>
  </w:footnote>
  <w:footnote w:id="51">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Christopher J.H. Wright, </w:t>
      </w:r>
      <w:r w:rsidRPr="00973AED">
        <w:rPr>
          <w:rFonts w:ascii="Times New Roman" w:hAnsi="Times New Roman"/>
          <w:i/>
          <w:iCs/>
          <w:color w:val="000000"/>
          <w:sz w:val="24"/>
          <w:szCs w:val="24"/>
        </w:rPr>
        <w:t>Deuteronomy</w:t>
      </w:r>
      <w:r w:rsidRPr="00973AED">
        <w:rPr>
          <w:rFonts w:ascii="Times New Roman" w:hAnsi="Times New Roman"/>
          <w:iCs/>
          <w:color w:val="000000"/>
          <w:sz w:val="24"/>
          <w:szCs w:val="24"/>
        </w:rPr>
        <w:t>,</w:t>
      </w:r>
      <w:r w:rsidRPr="00973AED">
        <w:rPr>
          <w:rFonts w:ascii="Times New Roman" w:hAnsi="Times New Roman"/>
          <w:color w:val="000000"/>
          <w:sz w:val="24"/>
          <w:szCs w:val="24"/>
        </w:rPr>
        <w:t xml:space="preserve"> New International Biblical Commentary (Peabody, Mass.: Hendrickson, 1996), 109.</w:t>
      </w:r>
    </w:p>
  </w:footnote>
  <w:footnote w:id="52">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Lilley, “Understanding the </w:t>
      </w:r>
      <w:proofErr w:type="spellStart"/>
      <w:r w:rsidRPr="00973AED">
        <w:rPr>
          <w:rFonts w:ascii="Times New Roman" w:hAnsi="Times New Roman"/>
          <w:color w:val="000000"/>
          <w:sz w:val="24"/>
          <w:szCs w:val="24"/>
        </w:rPr>
        <w:t>Herem</w:t>
      </w:r>
      <w:proofErr w:type="spellEnd"/>
      <w:r w:rsidRPr="00973AED">
        <w:rPr>
          <w:rFonts w:ascii="Times New Roman" w:hAnsi="Times New Roman"/>
          <w:color w:val="000000"/>
          <w:sz w:val="24"/>
          <w:szCs w:val="24"/>
        </w:rPr>
        <w:t>,” 174.</w:t>
      </w:r>
    </w:p>
  </w:footnote>
  <w:footnote w:id="53">
    <w:p w:rsidR="001A6C34" w:rsidRPr="00973AED" w:rsidRDefault="001A6C34" w:rsidP="001A6C34">
      <w:pPr>
        <w:pStyle w:val="FootnoteText"/>
        <w:rPr>
          <w:rFonts w:ascii="Times New Roman" w:hAnsi="Times New Roman"/>
          <w:color w:val="000000"/>
          <w:sz w:val="24"/>
          <w:szCs w:val="24"/>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 xml:space="preserve">Other commentators such as </w:t>
      </w:r>
      <w:r w:rsidRPr="00973AED">
        <w:rPr>
          <w:rFonts w:ascii="Times New Roman" w:hAnsi="Times New Roman"/>
          <w:color w:val="000000"/>
          <w:sz w:val="24"/>
          <w:szCs w:val="24"/>
        </w:rPr>
        <w:t>Duane L.</w:t>
      </w:r>
      <w:r w:rsidRPr="00973AED">
        <w:rPr>
          <w:rFonts w:ascii="Times New Roman" w:hAnsi="Times New Roman"/>
          <w:color w:val="000000"/>
          <w:sz w:val="24"/>
          <w:szCs w:val="24"/>
          <w:lang w:val="en-NZ"/>
        </w:rPr>
        <w:t xml:space="preserve"> Christensen and J. Gordon </w:t>
      </w:r>
      <w:proofErr w:type="spellStart"/>
      <w:r w:rsidRPr="00973AED">
        <w:rPr>
          <w:rFonts w:ascii="Times New Roman" w:hAnsi="Times New Roman"/>
          <w:color w:val="000000"/>
          <w:sz w:val="24"/>
          <w:szCs w:val="24"/>
          <w:lang w:val="en-NZ"/>
        </w:rPr>
        <w:t>McConville</w:t>
      </w:r>
      <w:proofErr w:type="spellEnd"/>
      <w:r w:rsidRPr="00973AED">
        <w:rPr>
          <w:rFonts w:ascii="Times New Roman" w:hAnsi="Times New Roman"/>
          <w:color w:val="000000"/>
          <w:sz w:val="24"/>
          <w:szCs w:val="24"/>
          <w:lang w:val="en-NZ"/>
        </w:rPr>
        <w:t xml:space="preserve"> suggest “destroy” is being used in a figurative sense.  </w:t>
      </w:r>
      <w:proofErr w:type="spellStart"/>
      <w:r w:rsidRPr="00973AED">
        <w:rPr>
          <w:rFonts w:ascii="Times New Roman" w:hAnsi="Times New Roman"/>
          <w:color w:val="000000"/>
          <w:sz w:val="24"/>
          <w:szCs w:val="24"/>
          <w:lang w:val="en-NZ"/>
        </w:rPr>
        <w:t>McConville</w:t>
      </w:r>
      <w:proofErr w:type="spellEnd"/>
      <w:r w:rsidRPr="00973AED">
        <w:rPr>
          <w:rFonts w:ascii="Times New Roman" w:hAnsi="Times New Roman"/>
          <w:color w:val="000000"/>
          <w:sz w:val="24"/>
          <w:szCs w:val="24"/>
          <w:lang w:val="en-NZ"/>
        </w:rPr>
        <w:t xml:space="preserve">, for example, states </w:t>
      </w:r>
      <w:r w:rsidRPr="00973AED">
        <w:rPr>
          <w:rFonts w:ascii="Times New Roman" w:hAnsi="Times New Roman"/>
          <w:color w:val="000000"/>
          <w:sz w:val="24"/>
          <w:szCs w:val="24"/>
        </w:rPr>
        <w:t xml:space="preserve">“the concept of complete annihilation of the nations is always a kind of ideal, symbolizing the need for radical loyalty to Yahweh on the part of Israel.” J. Gordon </w:t>
      </w:r>
      <w:proofErr w:type="spellStart"/>
      <w:r w:rsidRPr="00973AED">
        <w:rPr>
          <w:rFonts w:ascii="Times New Roman" w:hAnsi="Times New Roman"/>
          <w:color w:val="000000"/>
          <w:sz w:val="24"/>
          <w:szCs w:val="24"/>
        </w:rPr>
        <w:t>McConville</w:t>
      </w:r>
      <w:proofErr w:type="spellEnd"/>
      <w:r w:rsidRPr="00973AED">
        <w:rPr>
          <w:rFonts w:ascii="Times New Roman" w:hAnsi="Times New Roman"/>
          <w:color w:val="000000"/>
          <w:sz w:val="24"/>
          <w:szCs w:val="24"/>
        </w:rPr>
        <w:t xml:space="preserve">, </w:t>
      </w:r>
      <w:r w:rsidRPr="00973AED">
        <w:rPr>
          <w:rFonts w:ascii="Times New Roman" w:hAnsi="Times New Roman"/>
          <w:i/>
          <w:color w:val="000000"/>
          <w:sz w:val="24"/>
          <w:szCs w:val="24"/>
        </w:rPr>
        <w:t>Deuteronomy</w:t>
      </w:r>
      <w:r w:rsidRPr="00973AED">
        <w:rPr>
          <w:rFonts w:ascii="Times New Roman" w:hAnsi="Times New Roman"/>
          <w:color w:val="000000"/>
          <w:sz w:val="24"/>
          <w:szCs w:val="24"/>
        </w:rPr>
        <w:t xml:space="preserve">, </w:t>
      </w:r>
      <w:proofErr w:type="spellStart"/>
      <w:r w:rsidRPr="00973AED">
        <w:rPr>
          <w:rFonts w:ascii="Times New Roman" w:hAnsi="Times New Roman"/>
          <w:color w:val="000000"/>
          <w:sz w:val="24"/>
          <w:szCs w:val="24"/>
        </w:rPr>
        <w:t>Apollos</w:t>
      </w:r>
      <w:proofErr w:type="spellEnd"/>
      <w:r w:rsidRPr="00973AED">
        <w:rPr>
          <w:rFonts w:ascii="Times New Roman" w:hAnsi="Times New Roman"/>
          <w:i/>
          <w:color w:val="000000"/>
          <w:sz w:val="24"/>
          <w:szCs w:val="24"/>
        </w:rPr>
        <w:t xml:space="preserve"> </w:t>
      </w:r>
      <w:r w:rsidRPr="00973AED">
        <w:rPr>
          <w:rFonts w:ascii="Times New Roman" w:hAnsi="Times New Roman"/>
          <w:color w:val="000000"/>
          <w:sz w:val="24"/>
          <w:szCs w:val="24"/>
        </w:rPr>
        <w:t xml:space="preserve">Old Testament Commentary, eds. D.W. Baker and G.J. Wenham (Downers Grove, IL: </w:t>
      </w:r>
      <w:proofErr w:type="spellStart"/>
      <w:r w:rsidRPr="00973AED">
        <w:rPr>
          <w:rFonts w:ascii="Times New Roman" w:hAnsi="Times New Roman"/>
          <w:color w:val="000000"/>
          <w:sz w:val="24"/>
          <w:szCs w:val="24"/>
        </w:rPr>
        <w:t>InterVarsity</w:t>
      </w:r>
      <w:proofErr w:type="spellEnd"/>
      <w:r w:rsidRPr="00973AED">
        <w:rPr>
          <w:rFonts w:ascii="Times New Roman" w:hAnsi="Times New Roman"/>
          <w:color w:val="000000"/>
          <w:sz w:val="24"/>
          <w:szCs w:val="24"/>
        </w:rPr>
        <w:t>, 2002), 161.</w:t>
      </w:r>
    </w:p>
    <w:p w:rsidR="001A6C34" w:rsidRPr="00973AED" w:rsidRDefault="001A6C34" w:rsidP="001A6C34">
      <w:pPr>
        <w:pStyle w:val="FootnoteText"/>
        <w:ind w:firstLine="720"/>
        <w:rPr>
          <w:rFonts w:ascii="Times New Roman" w:hAnsi="Times New Roman"/>
          <w:color w:val="000000"/>
          <w:sz w:val="24"/>
          <w:szCs w:val="24"/>
          <w:lang w:val="en-NZ"/>
        </w:rPr>
      </w:pPr>
      <w:r w:rsidRPr="00973AED">
        <w:rPr>
          <w:rFonts w:ascii="Times New Roman" w:hAnsi="Times New Roman"/>
          <w:color w:val="000000"/>
          <w:sz w:val="24"/>
          <w:szCs w:val="24"/>
        </w:rPr>
        <w:t xml:space="preserve">Some object that a hyperbolic interpretation does not fit the context, which draws a contrast between sparing “the women, the children, </w:t>
      </w:r>
      <w:proofErr w:type="gramStart"/>
      <w:r w:rsidRPr="00973AED">
        <w:rPr>
          <w:rFonts w:ascii="Times New Roman" w:hAnsi="Times New Roman"/>
          <w:color w:val="000000"/>
          <w:sz w:val="24"/>
          <w:szCs w:val="24"/>
        </w:rPr>
        <w:t>the</w:t>
      </w:r>
      <w:proofErr w:type="gramEnd"/>
      <w:r w:rsidRPr="00973AED">
        <w:rPr>
          <w:rFonts w:ascii="Times New Roman" w:hAnsi="Times New Roman"/>
          <w:color w:val="000000"/>
          <w:sz w:val="24"/>
          <w:szCs w:val="24"/>
        </w:rPr>
        <w:t xml:space="preserve"> livestock</w:t>
      </w:r>
      <w:r w:rsidRPr="00973AED">
        <w:rPr>
          <w:rStyle w:val="apple-style-span"/>
          <w:rFonts w:ascii="Times New Roman" w:hAnsi="Times New Roman"/>
          <w:color w:val="000000"/>
          <w:sz w:val="24"/>
          <w:szCs w:val="24"/>
        </w:rPr>
        <w:t>” (v. 14) and totally destroying them (v. 16: “do not leave alive anything that breathes”). This is mistaken.  First, the emphasis in v. 14 is not on sparing non-combatants but rather on the permissibility of marrying the women of conquered enemies, adopting their children and using their cattle. Second, the contrast is not between vv. 14 and 16, but between v. 16 and the whole</w:t>
      </w:r>
      <w:r w:rsidRPr="00973AED">
        <w:rPr>
          <w:rStyle w:val="apple-style-span"/>
          <w:rFonts w:ascii="Times New Roman" w:hAnsi="Times New Roman"/>
          <w:i/>
          <w:color w:val="000000"/>
          <w:sz w:val="24"/>
          <w:szCs w:val="24"/>
        </w:rPr>
        <w:t xml:space="preserve"> </w:t>
      </w:r>
      <w:r w:rsidRPr="00973AED">
        <w:rPr>
          <w:rStyle w:val="apple-style-span"/>
          <w:rFonts w:ascii="Times New Roman" w:hAnsi="Times New Roman"/>
          <w:color w:val="000000"/>
          <w:sz w:val="24"/>
          <w:szCs w:val="24"/>
        </w:rPr>
        <w:t xml:space="preserve">set of instructions regarding nations that are far away (vv. 10-15). These verses command Israel </w:t>
      </w:r>
      <w:r w:rsidRPr="00973AED">
        <w:rPr>
          <w:rFonts w:ascii="Times New Roman" w:hAnsi="Times New Roman"/>
          <w:color w:val="000000"/>
          <w:sz w:val="24"/>
          <w:szCs w:val="24"/>
        </w:rPr>
        <w:t>to seek to make peace treaties first and if they go to war and kill combatants they can marry the women, adopt children and keep the livestock. In other words, as much as possible they are to seek peaceful co-existence with these nations. A command to go to war and drive them out expressed hyperbolically as ‘totally destroy them” and “leave nothing alive that breathes’ would stand in contrast to this. A final point on this is that the crucial issue is whether the hyperbolic interpretation is more plausible than a literal one, even if a literal interpretation fits Deuteronomy 20 better. Above I have argued that a literal interpretation puts Joshua 6-11 at odds with Judges 1-2 and the later chapters of Joshua. It would be odd to reject a hyperbolic interpretation because one passage in Deuteronomy 20 does not cohere with it and instead embrace a literal interpretation</w:t>
      </w:r>
      <w:r>
        <w:rPr>
          <w:rFonts w:ascii="Times New Roman" w:hAnsi="Times New Roman"/>
          <w:color w:val="000000"/>
          <w:sz w:val="24"/>
          <w:szCs w:val="24"/>
        </w:rPr>
        <w:t>,</w:t>
      </w:r>
      <w:r w:rsidRPr="00973AED">
        <w:rPr>
          <w:rFonts w:ascii="Times New Roman" w:hAnsi="Times New Roman"/>
          <w:color w:val="000000"/>
          <w:sz w:val="24"/>
          <w:szCs w:val="24"/>
        </w:rPr>
        <w:t xml:space="preserve"> which creates an even greater incoherence in the text.</w:t>
      </w:r>
    </w:p>
  </w:footnote>
  <w:footnote w:id="54">
    <w:p w:rsidR="001A6C34" w:rsidRPr="00973AED" w:rsidRDefault="001A6C34" w:rsidP="001A6C34">
      <w:pPr>
        <w:pStyle w:val="FootnoteText"/>
        <w:tabs>
          <w:tab w:val="left" w:pos="3600"/>
        </w:tabs>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w:t>
      </w:r>
      <w:r w:rsidRPr="00973AED">
        <w:rPr>
          <w:rFonts w:ascii="Times New Roman" w:hAnsi="Times New Roman"/>
          <w:color w:val="000000"/>
          <w:sz w:val="24"/>
          <w:szCs w:val="24"/>
          <w:lang w:val="en-NZ"/>
        </w:rPr>
        <w:t xml:space="preserve">I owe this point to conversations with Paul Copan. See his comments on this in </w:t>
      </w:r>
      <w:r w:rsidRPr="00973AED">
        <w:rPr>
          <w:rFonts w:ascii="Times New Roman" w:hAnsi="Times New Roman"/>
          <w:i/>
          <w:color w:val="000000"/>
          <w:sz w:val="24"/>
          <w:szCs w:val="24"/>
          <w:lang w:val="en-NZ"/>
        </w:rPr>
        <w:t>Is God a Moral Monster</w:t>
      </w:r>
      <w:proofErr w:type="gramStart"/>
      <w:r w:rsidRPr="00973AED">
        <w:rPr>
          <w:rFonts w:ascii="Times New Roman" w:hAnsi="Times New Roman"/>
          <w:i/>
          <w:color w:val="000000"/>
          <w:sz w:val="24"/>
          <w:szCs w:val="24"/>
          <w:lang w:val="en-NZ"/>
        </w:rPr>
        <w:t>?</w:t>
      </w:r>
      <w:r w:rsidRPr="00973AED">
        <w:rPr>
          <w:rFonts w:ascii="Times New Roman" w:hAnsi="Times New Roman"/>
          <w:color w:val="000000"/>
          <w:sz w:val="24"/>
          <w:szCs w:val="24"/>
          <w:lang w:val="en-NZ"/>
        </w:rPr>
        <w:t>,</w:t>
      </w:r>
      <w:proofErr w:type="gramEnd"/>
      <w:r w:rsidRPr="00973AED">
        <w:rPr>
          <w:rFonts w:ascii="Times New Roman" w:hAnsi="Times New Roman"/>
          <w:color w:val="000000"/>
          <w:sz w:val="24"/>
          <w:szCs w:val="24"/>
          <w:lang w:val="en-NZ"/>
        </w:rPr>
        <w:t xml:space="preserve"> 181-2. </w:t>
      </w:r>
    </w:p>
  </w:footnote>
  <w:footnote w:id="55">
    <w:p w:rsidR="001A6C34" w:rsidRPr="00973AED" w:rsidRDefault="001A6C34" w:rsidP="001A6C34">
      <w:pPr>
        <w:pStyle w:val="NormalWeb"/>
        <w:spacing w:before="0" w:beforeAutospacing="0" w:after="0" w:afterAutospacing="0"/>
        <w:ind w:right="26"/>
        <w:rPr>
          <w:color w:val="000000"/>
          <w:lang w:val="en-NZ"/>
        </w:rPr>
      </w:pPr>
      <w:r w:rsidRPr="00973AED">
        <w:rPr>
          <w:rStyle w:val="FootnoteReference"/>
          <w:color w:val="000000"/>
        </w:rPr>
        <w:footnoteRef/>
      </w:r>
      <w:r w:rsidRPr="00973AED">
        <w:rPr>
          <w:color w:val="000000"/>
        </w:rPr>
        <w:t xml:space="preserve"> “But you must keep my decrees and my laws. The native-born and the aliens living among you must not do any of these detestable things, for all these things were done by the people who lived in the land before you, and the land became defiled.</w:t>
      </w:r>
      <w:r w:rsidRPr="00973AED">
        <w:rPr>
          <w:bCs/>
          <w:color w:val="000000"/>
          <w:vertAlign w:val="superscript"/>
        </w:rPr>
        <w:t xml:space="preserve"> </w:t>
      </w:r>
      <w:r w:rsidRPr="00973AED">
        <w:rPr>
          <w:color w:val="000000"/>
        </w:rPr>
        <w:t>And if you defile the land, it will vomit you out as it vomited out the nations that were before you.”</w:t>
      </w:r>
    </w:p>
  </w:footnote>
  <w:footnote w:id="56">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Deuteronomy 2:10-12, 20-22; 4:26-30</w:t>
      </w:r>
      <w:r w:rsidRPr="00973AED">
        <w:rPr>
          <w:rFonts w:ascii="Times New Roman" w:hAnsi="Times New Roman"/>
          <w:color w:val="000000"/>
          <w:sz w:val="24"/>
          <w:szCs w:val="24"/>
          <w:lang w:val="en-NZ"/>
        </w:rPr>
        <w:t xml:space="preserve">; </w:t>
      </w:r>
      <w:r w:rsidRPr="00973AED">
        <w:rPr>
          <w:rFonts w:ascii="Times New Roman" w:hAnsi="Times New Roman"/>
          <w:color w:val="000000"/>
          <w:sz w:val="24"/>
          <w:szCs w:val="24"/>
        </w:rPr>
        <w:t>28:63.</w:t>
      </w:r>
    </w:p>
  </w:footnote>
  <w:footnote w:id="57">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Nicholas Wolterstorff, “Reply to Antony,” in </w:t>
      </w:r>
      <w:r w:rsidRPr="00973AED">
        <w:rPr>
          <w:rFonts w:ascii="Times New Roman" w:hAnsi="Times New Roman"/>
          <w:i/>
          <w:color w:val="000000"/>
          <w:sz w:val="24"/>
          <w:szCs w:val="24"/>
        </w:rPr>
        <w:t>Divine Evil? The Moral Character of the God of Abraham</w:t>
      </w:r>
      <w:r w:rsidRPr="00973AED">
        <w:rPr>
          <w:rFonts w:ascii="Times New Roman" w:hAnsi="Times New Roman"/>
          <w:color w:val="000000"/>
          <w:sz w:val="24"/>
          <w:szCs w:val="24"/>
        </w:rPr>
        <w:t>, eds.</w:t>
      </w:r>
      <w:r w:rsidRPr="00973AED">
        <w:rPr>
          <w:rStyle w:val="apple-style-span"/>
          <w:rFonts w:ascii="Times New Roman" w:hAnsi="Times New Roman"/>
          <w:bCs/>
          <w:color w:val="000000"/>
          <w:sz w:val="24"/>
          <w:szCs w:val="24"/>
        </w:rPr>
        <w:t xml:space="preserve"> Michael Bergmann</w:t>
      </w:r>
      <w:r w:rsidRPr="00973AED">
        <w:rPr>
          <w:rStyle w:val="apple-style-span"/>
          <w:rFonts w:ascii="Times New Roman" w:hAnsi="Times New Roman"/>
          <w:color w:val="000000"/>
          <w:sz w:val="24"/>
          <w:szCs w:val="24"/>
        </w:rPr>
        <w:t>,</w:t>
      </w:r>
      <w:r w:rsidRPr="00973AED">
        <w:rPr>
          <w:rStyle w:val="apple-converted-space"/>
          <w:rFonts w:ascii="Times New Roman" w:hAnsi="Times New Roman"/>
          <w:color w:val="000000"/>
          <w:sz w:val="24"/>
          <w:szCs w:val="24"/>
        </w:rPr>
        <w:t> </w:t>
      </w:r>
      <w:r w:rsidRPr="00973AED">
        <w:rPr>
          <w:rStyle w:val="apple-style-span"/>
          <w:rFonts w:ascii="Times New Roman" w:hAnsi="Times New Roman"/>
          <w:bCs/>
          <w:color w:val="000000"/>
          <w:sz w:val="24"/>
          <w:szCs w:val="24"/>
        </w:rPr>
        <w:t>Michael J. Murray</w:t>
      </w:r>
      <w:r w:rsidRPr="00973AED">
        <w:rPr>
          <w:rStyle w:val="apple-style-span"/>
          <w:rFonts w:ascii="Times New Roman" w:hAnsi="Times New Roman"/>
          <w:color w:val="000000"/>
          <w:sz w:val="24"/>
          <w:szCs w:val="24"/>
        </w:rPr>
        <w:t xml:space="preserve"> and </w:t>
      </w:r>
      <w:r w:rsidRPr="00973AED">
        <w:rPr>
          <w:rStyle w:val="apple-style-span"/>
          <w:rFonts w:ascii="Times New Roman" w:hAnsi="Times New Roman"/>
          <w:bCs/>
          <w:color w:val="000000"/>
          <w:sz w:val="24"/>
          <w:szCs w:val="24"/>
        </w:rPr>
        <w:t>Michael C. Rea (New York: Oxford University Press, 2010), 263.</w:t>
      </w:r>
    </w:p>
  </w:footnote>
  <w:footnote w:id="58">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Nicholas </w:t>
      </w:r>
      <w:r w:rsidRPr="00973AED">
        <w:rPr>
          <w:rFonts w:ascii="Times New Roman" w:hAnsi="Times New Roman"/>
          <w:color w:val="000000"/>
          <w:sz w:val="24"/>
          <w:szCs w:val="24"/>
          <w:lang w:val="en-NZ"/>
        </w:rPr>
        <w:t xml:space="preserve">Wolterstorff </w:t>
      </w:r>
      <w:r w:rsidRPr="00973AED">
        <w:rPr>
          <w:rFonts w:ascii="Times New Roman" w:hAnsi="Times New Roman"/>
          <w:sz w:val="24"/>
          <w:szCs w:val="24"/>
          <w:lang w:val="en-NZ"/>
        </w:rPr>
        <w:t>“Reading Joshua” presented at the </w:t>
      </w:r>
      <w:r w:rsidRPr="00973AED">
        <w:rPr>
          <w:rFonts w:ascii="Times New Roman" w:hAnsi="Times New Roman"/>
          <w:b/>
          <w:bCs/>
          <w:sz w:val="24"/>
          <w:szCs w:val="24"/>
          <w:lang w:val="en-NZ"/>
        </w:rPr>
        <w:t>“</w:t>
      </w:r>
      <w:r w:rsidRPr="00973AED">
        <w:rPr>
          <w:rFonts w:ascii="Times New Roman" w:hAnsi="Times New Roman"/>
          <w:sz w:val="24"/>
          <w:szCs w:val="24"/>
          <w:lang w:val="en-NZ"/>
        </w:rPr>
        <w:t xml:space="preserve">My Ways Are Not Your Ways: The Character of the God of the Hebrew Bible” conference at the </w:t>
      </w:r>
      <w:proofErr w:type="spellStart"/>
      <w:r w:rsidRPr="00973AED">
        <w:rPr>
          <w:rFonts w:ascii="Times New Roman" w:hAnsi="Times New Roman"/>
          <w:sz w:val="24"/>
          <w:szCs w:val="24"/>
          <w:lang w:val="en-NZ"/>
        </w:rPr>
        <w:t>Center</w:t>
      </w:r>
      <w:proofErr w:type="spellEnd"/>
      <w:r w:rsidRPr="00973AED">
        <w:rPr>
          <w:rFonts w:ascii="Times New Roman" w:hAnsi="Times New Roman"/>
          <w:sz w:val="24"/>
          <w:szCs w:val="24"/>
          <w:lang w:val="en-NZ"/>
        </w:rPr>
        <w:t xml:space="preserve"> for Philosophy of Religion, University of Notre Dame, September 12, 2009</w:t>
      </w:r>
      <w:r w:rsidRPr="00973AED">
        <w:rPr>
          <w:rFonts w:ascii="Times New Roman" w:hAnsi="Times New Roman"/>
          <w:color w:val="000000"/>
          <w:sz w:val="24"/>
          <w:szCs w:val="24"/>
          <w:lang w:val="en-NZ"/>
        </w:rPr>
        <w:t xml:space="preserve"> at &lt;http://www.nd.edu/~cprelig/conferences/documents/HBprogram_006.pdf&gt; accessed December 19, 2009;</w:t>
      </w:r>
      <w:r w:rsidRPr="00973AED">
        <w:rPr>
          <w:rStyle w:val="apple-style-span"/>
          <w:rFonts w:ascii="Times New Roman" w:hAnsi="Times New Roman"/>
          <w:color w:val="000000"/>
          <w:sz w:val="24"/>
          <w:szCs w:val="24"/>
        </w:rPr>
        <w:t xml:space="preserve"> this paragraph was in the paper presented at the conference but was omitted from the published version, </w:t>
      </w:r>
      <w:r w:rsidRPr="00973AED">
        <w:rPr>
          <w:rStyle w:val="apple-style-span"/>
          <w:rFonts w:ascii="Times New Roman" w:hAnsi="Times New Roman"/>
          <w:i/>
          <w:color w:val="000000"/>
          <w:sz w:val="24"/>
          <w:szCs w:val="24"/>
        </w:rPr>
        <w:t>Divine Evil?</w:t>
      </w:r>
    </w:p>
  </w:footnote>
  <w:footnote w:id="59">
    <w:p w:rsidR="001A6C34" w:rsidRPr="00973AED" w:rsidRDefault="001A6C34" w:rsidP="001A6C34">
      <w:pPr>
        <w:pStyle w:val="FootnoteText"/>
        <w:rPr>
          <w:rFonts w:ascii="Times New Roman" w:hAnsi="Times New Roman"/>
          <w:i/>
          <w:iCs/>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w:t>
      </w:r>
      <w:r w:rsidRPr="00973AED">
        <w:rPr>
          <w:rFonts w:ascii="Times New Roman" w:hAnsi="Times New Roman"/>
          <w:sz w:val="24"/>
          <w:szCs w:val="24"/>
          <w:lang w:val="en-NZ"/>
        </w:rPr>
        <w:t xml:space="preserve">Alvin </w:t>
      </w:r>
      <w:proofErr w:type="spellStart"/>
      <w:r w:rsidRPr="00973AED">
        <w:rPr>
          <w:rFonts w:ascii="Times New Roman" w:hAnsi="Times New Roman"/>
          <w:sz w:val="24"/>
          <w:szCs w:val="24"/>
          <w:lang w:val="en-NZ"/>
        </w:rPr>
        <w:t>Plantinga</w:t>
      </w:r>
      <w:proofErr w:type="spellEnd"/>
      <w:r w:rsidRPr="00973AED">
        <w:rPr>
          <w:rFonts w:ascii="Times New Roman" w:hAnsi="Times New Roman"/>
          <w:sz w:val="24"/>
          <w:szCs w:val="24"/>
          <w:lang w:val="en-NZ"/>
        </w:rPr>
        <w:t xml:space="preserve"> “Comments on Satanic Verses in Holy Writ,” </w:t>
      </w:r>
      <w:r w:rsidRPr="00973AED">
        <w:rPr>
          <w:rFonts w:ascii="Times New Roman" w:hAnsi="Times New Roman"/>
          <w:sz w:val="24"/>
          <w:szCs w:val="24"/>
        </w:rPr>
        <w:t xml:space="preserve">in </w:t>
      </w:r>
      <w:r w:rsidRPr="00973AED">
        <w:rPr>
          <w:rFonts w:ascii="Times New Roman" w:hAnsi="Times New Roman"/>
          <w:i/>
          <w:sz w:val="24"/>
          <w:szCs w:val="24"/>
        </w:rPr>
        <w:t>Divine Evil? The Moral Character of the God of Abraham</w:t>
      </w:r>
      <w:r w:rsidRPr="00973AED">
        <w:rPr>
          <w:rFonts w:ascii="Times New Roman" w:hAnsi="Times New Roman"/>
          <w:sz w:val="24"/>
          <w:szCs w:val="24"/>
        </w:rPr>
        <w:t>, eds.</w:t>
      </w:r>
      <w:r w:rsidRPr="00973AED">
        <w:rPr>
          <w:rStyle w:val="apple-style-span"/>
          <w:rFonts w:ascii="Times New Roman" w:hAnsi="Times New Roman"/>
          <w:bCs/>
          <w:sz w:val="24"/>
          <w:szCs w:val="24"/>
        </w:rPr>
        <w:t xml:space="preserve"> Michael Bergmann</w:t>
      </w:r>
      <w:r w:rsidRPr="00973AED">
        <w:rPr>
          <w:rStyle w:val="apple-style-span"/>
          <w:rFonts w:ascii="Times New Roman" w:hAnsi="Times New Roman"/>
          <w:sz w:val="24"/>
          <w:szCs w:val="24"/>
        </w:rPr>
        <w:t>,</w:t>
      </w:r>
      <w:r w:rsidRPr="00973AED">
        <w:rPr>
          <w:rStyle w:val="apple-converted-space"/>
          <w:rFonts w:ascii="Times New Roman" w:hAnsi="Times New Roman"/>
          <w:sz w:val="24"/>
          <w:szCs w:val="24"/>
        </w:rPr>
        <w:t> </w:t>
      </w:r>
      <w:r w:rsidRPr="00973AED">
        <w:rPr>
          <w:rStyle w:val="apple-style-span"/>
          <w:rFonts w:ascii="Times New Roman" w:hAnsi="Times New Roman"/>
          <w:bCs/>
          <w:sz w:val="24"/>
          <w:szCs w:val="24"/>
        </w:rPr>
        <w:t>Michael J. Murray</w:t>
      </w:r>
      <w:r w:rsidRPr="00973AED">
        <w:rPr>
          <w:rStyle w:val="apple-style-span"/>
          <w:rFonts w:ascii="Times New Roman" w:hAnsi="Times New Roman"/>
          <w:sz w:val="24"/>
          <w:szCs w:val="24"/>
        </w:rPr>
        <w:t xml:space="preserve"> and </w:t>
      </w:r>
      <w:r w:rsidRPr="00973AED">
        <w:rPr>
          <w:rStyle w:val="apple-style-span"/>
          <w:rFonts w:ascii="Times New Roman" w:hAnsi="Times New Roman"/>
          <w:bCs/>
          <w:sz w:val="24"/>
          <w:szCs w:val="24"/>
        </w:rPr>
        <w:t xml:space="preserve">Michael C. Rea (New York: Oxford University Press, 2010), 110. </w:t>
      </w:r>
      <w:proofErr w:type="spellStart"/>
      <w:r w:rsidRPr="00973AED">
        <w:rPr>
          <w:rStyle w:val="apple-style-span"/>
          <w:rFonts w:ascii="Times New Roman" w:hAnsi="Times New Roman"/>
          <w:bCs/>
          <w:sz w:val="24"/>
          <w:szCs w:val="24"/>
        </w:rPr>
        <w:t>Plantinga</w:t>
      </w:r>
      <w:proofErr w:type="spellEnd"/>
      <w:r w:rsidRPr="00973AED">
        <w:rPr>
          <w:rStyle w:val="apple-style-span"/>
          <w:rFonts w:ascii="Times New Roman" w:hAnsi="Times New Roman"/>
          <w:bCs/>
          <w:sz w:val="24"/>
          <w:szCs w:val="24"/>
        </w:rPr>
        <w:t xml:space="preserve"> is responding to Evan </w:t>
      </w:r>
      <w:proofErr w:type="spellStart"/>
      <w:r w:rsidRPr="00973AED">
        <w:rPr>
          <w:rStyle w:val="apple-style-span"/>
          <w:rFonts w:ascii="Times New Roman" w:hAnsi="Times New Roman"/>
          <w:bCs/>
          <w:sz w:val="24"/>
          <w:szCs w:val="24"/>
        </w:rPr>
        <w:t>Fales</w:t>
      </w:r>
      <w:proofErr w:type="spellEnd"/>
      <w:r w:rsidRPr="00973AED">
        <w:rPr>
          <w:rStyle w:val="apple-style-span"/>
          <w:rFonts w:ascii="Times New Roman" w:hAnsi="Times New Roman"/>
          <w:bCs/>
          <w:sz w:val="24"/>
          <w:szCs w:val="24"/>
        </w:rPr>
        <w:t xml:space="preserve">, who based his reading on the mistaken reading of the verse “kill all the women </w:t>
      </w:r>
      <w:r w:rsidRPr="00973AED">
        <w:rPr>
          <w:rStyle w:val="apple-style-span"/>
          <w:rFonts w:ascii="Times New Roman" w:hAnsi="Times New Roman"/>
          <w:sz w:val="24"/>
          <w:szCs w:val="24"/>
        </w:rPr>
        <w:t>but save for yourselves every girl who has never slept with a man</w:t>
      </w:r>
      <w:r w:rsidRPr="00973AED">
        <w:rPr>
          <w:rStyle w:val="apple-style-span"/>
          <w:rFonts w:ascii="Times New Roman" w:hAnsi="Times New Roman"/>
          <w:bCs/>
          <w:sz w:val="24"/>
          <w:szCs w:val="24"/>
        </w:rPr>
        <w:t>” as commanding rape—a reading he also ascribes to Deuteronomy 21.  In fact, a glance at the immediate context shows that the reference to a woman not sleeping with a man in the former passage was mentioned to distinguish the women in question from those who had seduced Israelite men into idolatry; it is not there to emphasi</w:t>
      </w:r>
      <w:r>
        <w:rPr>
          <w:rStyle w:val="apple-style-span"/>
          <w:rFonts w:ascii="Times New Roman" w:hAnsi="Times New Roman"/>
          <w:bCs/>
          <w:sz w:val="24"/>
          <w:szCs w:val="24"/>
        </w:rPr>
        <w:t>ze</w:t>
      </w:r>
      <w:r w:rsidRPr="00973AED">
        <w:rPr>
          <w:rStyle w:val="apple-style-span"/>
          <w:rFonts w:ascii="Times New Roman" w:hAnsi="Times New Roman"/>
          <w:bCs/>
          <w:sz w:val="24"/>
          <w:szCs w:val="24"/>
        </w:rPr>
        <w:t xml:space="preserve"> their availability for sex.  Deuteronomy 21, in fact, protects female captives from being raped or sold as concubines. See </w:t>
      </w:r>
      <w:r w:rsidRPr="00973AED">
        <w:rPr>
          <w:rStyle w:val="apple-style-span"/>
          <w:rFonts w:ascii="Times New Roman" w:hAnsi="Times New Roman"/>
          <w:sz w:val="24"/>
          <w:szCs w:val="24"/>
        </w:rPr>
        <w:t>Paul Copan</w:t>
      </w:r>
      <w:r w:rsidRPr="00973AED">
        <w:rPr>
          <w:rStyle w:val="apple-converted-space"/>
          <w:rFonts w:ascii="Times New Roman" w:hAnsi="Times New Roman"/>
          <w:sz w:val="24"/>
          <w:szCs w:val="24"/>
        </w:rPr>
        <w:t> </w:t>
      </w:r>
      <w:r w:rsidRPr="00973AED">
        <w:rPr>
          <w:rStyle w:val="Emphasis"/>
          <w:rFonts w:ascii="Times New Roman" w:hAnsi="Times New Roman"/>
          <w:sz w:val="24"/>
          <w:szCs w:val="24"/>
        </w:rPr>
        <w:t xml:space="preserve">Is God a Moral Monster? Making Sense of the Old Testament God </w:t>
      </w:r>
      <w:r w:rsidRPr="00973AED">
        <w:rPr>
          <w:rStyle w:val="apple-converted-space"/>
          <w:rFonts w:ascii="Times New Roman" w:hAnsi="Times New Roman"/>
          <w:sz w:val="24"/>
          <w:szCs w:val="24"/>
        </w:rPr>
        <w:t>(</w:t>
      </w:r>
      <w:r w:rsidRPr="00973AED">
        <w:rPr>
          <w:rStyle w:val="apple-style-span"/>
          <w:rFonts w:ascii="Times New Roman" w:hAnsi="Times New Roman"/>
          <w:sz w:val="24"/>
          <w:szCs w:val="24"/>
        </w:rPr>
        <w:t>Grand Rapids: Baker, 2011)</w:t>
      </w:r>
      <w:r>
        <w:rPr>
          <w:rStyle w:val="apple-style-span"/>
          <w:rFonts w:ascii="Times New Roman" w:hAnsi="Times New Roman"/>
          <w:sz w:val="24"/>
          <w:szCs w:val="24"/>
        </w:rPr>
        <w:t>,</w:t>
      </w:r>
      <w:r w:rsidRPr="00973AED">
        <w:rPr>
          <w:rStyle w:val="apple-style-span"/>
          <w:rFonts w:ascii="Times New Roman" w:hAnsi="Times New Roman"/>
          <w:sz w:val="24"/>
          <w:szCs w:val="24"/>
        </w:rPr>
        <w:t xml:space="preserve"> </w:t>
      </w:r>
      <w:r w:rsidRPr="00973AED">
        <w:rPr>
          <w:rStyle w:val="apple-style-span"/>
          <w:rFonts w:ascii="Times New Roman" w:hAnsi="Times New Roman"/>
          <w:bCs/>
          <w:sz w:val="24"/>
          <w:szCs w:val="24"/>
        </w:rPr>
        <w:t>118-121, 180.</w:t>
      </w:r>
    </w:p>
  </w:footnote>
  <w:footnote w:id="60">
    <w:p w:rsidR="001A6C34" w:rsidRPr="00973AED" w:rsidRDefault="001A6C34" w:rsidP="001A6C34">
      <w:pPr>
        <w:pStyle w:val="NormalWeb"/>
        <w:spacing w:before="0" w:beforeAutospacing="0" w:after="0" w:afterAutospacing="0"/>
        <w:ind w:right="26"/>
        <w:rPr>
          <w:rStyle w:val="apple-style-span"/>
          <w:rFonts w:asciiTheme="minorHAnsi" w:eastAsiaTheme="minorHAnsi" w:hAnsiTheme="minorHAnsi" w:cstheme="minorBidi"/>
          <w:sz w:val="22"/>
          <w:szCs w:val="22"/>
          <w:lang w:val="en-US" w:eastAsia="en-US"/>
        </w:rPr>
      </w:pPr>
      <w:r w:rsidRPr="00973AED">
        <w:rPr>
          <w:rStyle w:val="FootnoteReference"/>
        </w:rPr>
        <w:footnoteRef/>
      </w:r>
      <w:r w:rsidRPr="00973AED">
        <w:t xml:space="preserve"> </w:t>
      </w:r>
      <w:r w:rsidRPr="00973AED">
        <w:rPr>
          <w:color w:val="000000"/>
        </w:rPr>
        <w:t>Some might object that God did command the killing of men, women and children in 1 Samuel 15, where God commanded Saul to “</w:t>
      </w:r>
      <w:r w:rsidRPr="00973AED">
        <w:t>utterly destroy [</w:t>
      </w:r>
      <w:r w:rsidRPr="00973AED">
        <w:rPr>
          <w:i/>
        </w:rPr>
        <w:t>haram</w:t>
      </w:r>
      <w:r w:rsidRPr="00973AED">
        <w:t>]” and “not spare” the Amalekites.  God used the sweeping language of “</w:t>
      </w:r>
      <w:r w:rsidRPr="00973AED">
        <w:rPr>
          <w:lang w:bidi="he-IL"/>
        </w:rPr>
        <w:t xml:space="preserve">put to death </w:t>
      </w:r>
      <w:proofErr w:type="gramStart"/>
      <w:r w:rsidRPr="00973AED">
        <w:rPr>
          <w:lang w:bidi="he-IL"/>
        </w:rPr>
        <w:t>both man</w:t>
      </w:r>
      <w:proofErr w:type="gramEnd"/>
      <w:r w:rsidRPr="00973AED">
        <w:rPr>
          <w:lang w:bidi="he-IL"/>
        </w:rPr>
        <w:t xml:space="preserve"> and woman, child and infant, ox and sheep, camel and donkey” (15:3).  It is important </w:t>
      </w:r>
      <w:r>
        <w:rPr>
          <w:lang w:bidi="he-IL"/>
        </w:rPr>
        <w:t xml:space="preserve">to </w:t>
      </w:r>
      <w:r w:rsidRPr="00973AED">
        <w:rPr>
          <w:lang w:bidi="he-IL"/>
        </w:rPr>
        <w:t xml:space="preserve">note that Saul carried this command out, see 1 Samuel 15:7-9:  </w:t>
      </w:r>
    </w:p>
    <w:p w:rsidR="001A6C34" w:rsidRPr="00973AED" w:rsidRDefault="001A6C34" w:rsidP="001A6C34">
      <w:pPr>
        <w:pStyle w:val="NormalWeb"/>
        <w:spacing w:before="0" w:beforeAutospacing="0" w:after="0" w:afterAutospacing="0"/>
        <w:ind w:left="720" w:right="26"/>
        <w:rPr>
          <w:rStyle w:val="apple-style-span"/>
        </w:rPr>
      </w:pPr>
      <w:r w:rsidRPr="00973AED">
        <w:rPr>
          <w:rStyle w:val="apple-style-span"/>
          <w:color w:val="000000"/>
        </w:rPr>
        <w:t xml:space="preserve">Saul attacked the Amalekites all the way from </w:t>
      </w:r>
      <w:proofErr w:type="spellStart"/>
      <w:r w:rsidRPr="00973AED">
        <w:rPr>
          <w:rStyle w:val="apple-style-span"/>
          <w:color w:val="000000"/>
        </w:rPr>
        <w:t>Havilah</w:t>
      </w:r>
      <w:proofErr w:type="spellEnd"/>
      <w:r w:rsidRPr="00973AED">
        <w:rPr>
          <w:rStyle w:val="apple-style-span"/>
          <w:color w:val="000000"/>
        </w:rPr>
        <w:t xml:space="preserve"> to </w:t>
      </w:r>
      <w:proofErr w:type="spellStart"/>
      <w:r w:rsidRPr="00973AED">
        <w:rPr>
          <w:rStyle w:val="apple-style-span"/>
          <w:color w:val="000000"/>
        </w:rPr>
        <w:t>Shur</w:t>
      </w:r>
      <w:proofErr w:type="spellEnd"/>
      <w:r w:rsidRPr="00973AED">
        <w:rPr>
          <w:rStyle w:val="apple-style-span"/>
          <w:color w:val="000000"/>
        </w:rPr>
        <w:t xml:space="preserve">, near the eastern border of Egypt. He took </w:t>
      </w:r>
      <w:proofErr w:type="spellStart"/>
      <w:r w:rsidRPr="00973AED">
        <w:rPr>
          <w:rStyle w:val="apple-style-span"/>
          <w:color w:val="000000"/>
        </w:rPr>
        <w:t>Agag</w:t>
      </w:r>
      <w:proofErr w:type="spellEnd"/>
      <w:r w:rsidRPr="00973AED">
        <w:rPr>
          <w:rStyle w:val="apple-style-span"/>
          <w:color w:val="000000"/>
        </w:rPr>
        <w:t xml:space="preserve"> king of the Amalekites alive, and all his people he totally destroyed with the sword. But Saul and the army spared </w:t>
      </w:r>
      <w:proofErr w:type="spellStart"/>
      <w:r w:rsidRPr="00973AED">
        <w:rPr>
          <w:rStyle w:val="apple-style-span"/>
          <w:color w:val="000000"/>
        </w:rPr>
        <w:t>Agag</w:t>
      </w:r>
      <w:proofErr w:type="spellEnd"/>
      <w:r w:rsidRPr="00973AED">
        <w:rPr>
          <w:rStyle w:val="apple-style-span"/>
          <w:color w:val="000000"/>
        </w:rPr>
        <w:t xml:space="preserve"> and the best of the sheep and cattle, the fat calves and lambs—everything that was good.  These they were unwilling to destroy completely, but everything that was despised and weak they totally destroyed.</w:t>
      </w:r>
    </w:p>
    <w:p w:rsidR="001A6C34" w:rsidRPr="00973AED" w:rsidRDefault="001A6C34" w:rsidP="001A6C34">
      <w:pPr>
        <w:pStyle w:val="NormalWeb"/>
        <w:spacing w:before="0" w:beforeAutospacing="0" w:after="0" w:afterAutospacing="0"/>
        <w:ind w:right="26" w:firstLine="720"/>
        <w:rPr>
          <w:color w:val="000000"/>
        </w:rPr>
      </w:pPr>
      <w:r w:rsidRPr="00973AED">
        <w:rPr>
          <w:rStyle w:val="apple-style-span"/>
          <w:color w:val="000000"/>
        </w:rPr>
        <w:t>The language of “utterly destroy” (</w:t>
      </w:r>
      <w:proofErr w:type="gramStart"/>
      <w:r w:rsidRPr="00973AED">
        <w:rPr>
          <w:rStyle w:val="apple-style-span"/>
          <w:i/>
          <w:color w:val="000000"/>
        </w:rPr>
        <w:t>haram,</w:t>
      </w:r>
      <w:proofErr w:type="gramEnd"/>
      <w:r w:rsidRPr="00973AED">
        <w:rPr>
          <w:rStyle w:val="apple-style-span"/>
          <w:i/>
          <w:color w:val="000000"/>
        </w:rPr>
        <w:t xml:space="preserve"> </w:t>
      </w:r>
      <w:r w:rsidRPr="00973AED">
        <w:rPr>
          <w:rStyle w:val="apple-style-span"/>
          <w:color w:val="000000"/>
        </w:rPr>
        <w:t xml:space="preserve">and its noun cognate </w:t>
      </w:r>
      <w:proofErr w:type="spellStart"/>
      <w:r w:rsidRPr="00973AED">
        <w:rPr>
          <w:rStyle w:val="apple-style-span"/>
          <w:i/>
          <w:color w:val="000000"/>
        </w:rPr>
        <w:t>herem</w:t>
      </w:r>
      <w:proofErr w:type="spellEnd"/>
      <w:r w:rsidRPr="00973AED">
        <w:rPr>
          <w:rStyle w:val="apple-style-span"/>
          <w:color w:val="000000"/>
        </w:rPr>
        <w:t xml:space="preserve">), the reference to cattle and sheep, and the reference to “sparing” all parallel the language of the command. So it would be difficult to justify interpreting the command as literal and the fulfilment as hyperbolic; the command and fulfilment need to be read in the same sense. </w:t>
      </w:r>
      <w:proofErr w:type="spellStart"/>
      <w:r w:rsidRPr="00973AED">
        <w:rPr>
          <w:color w:val="000000"/>
        </w:rPr>
        <w:t>Agag</w:t>
      </w:r>
      <w:proofErr w:type="spellEnd"/>
      <w:r w:rsidRPr="00973AED">
        <w:rPr>
          <w:color w:val="000000"/>
        </w:rPr>
        <w:t>, the sole survivor, was executed a few verses later (15:33). So taken in isolation and read literally, this passage records a divinely commanded genocide that was carried out.</w:t>
      </w:r>
    </w:p>
    <w:p w:rsidR="001A6C34" w:rsidRPr="00973AED" w:rsidRDefault="001A6C34" w:rsidP="001A6C34">
      <w:pPr>
        <w:pStyle w:val="NormalWeb"/>
        <w:spacing w:before="0" w:beforeAutospacing="0" w:after="0" w:afterAutospacing="0"/>
        <w:ind w:right="26" w:firstLine="720"/>
        <w:rPr>
          <w:rStyle w:val="apple-style-span"/>
        </w:rPr>
      </w:pPr>
      <w:r w:rsidRPr="00973AED">
        <w:rPr>
          <w:color w:val="000000"/>
        </w:rPr>
        <w:t xml:space="preserve">However, if </w:t>
      </w:r>
      <w:r w:rsidRPr="00973AED">
        <w:t xml:space="preserve">when one reads this passage as part of as a single narrative—a connected literary unit—then several issues are apparent. First, </w:t>
      </w:r>
      <w:r w:rsidRPr="00973AED">
        <w:rPr>
          <w:color w:val="000000"/>
        </w:rPr>
        <w:t xml:space="preserve">the proceeding narrative states quite emphatically that the Amalekites were not, in fact, literally wiped out. </w:t>
      </w:r>
      <w:r w:rsidRPr="00973AED">
        <w:rPr>
          <w:rStyle w:val="apple-style-span"/>
          <w:color w:val="000000"/>
        </w:rPr>
        <w:t>In 1 Samuel 27:8-9 David invaded a territory full of Amalekites:</w:t>
      </w:r>
    </w:p>
    <w:p w:rsidR="001A6C34" w:rsidRPr="00973AED" w:rsidRDefault="001A6C34" w:rsidP="001A6C34">
      <w:pPr>
        <w:pStyle w:val="NormalWeb"/>
        <w:spacing w:before="0" w:beforeAutospacing="0" w:after="0" w:afterAutospacing="0"/>
        <w:ind w:left="720" w:right="26"/>
        <w:rPr>
          <w:rStyle w:val="apple-style-span"/>
        </w:rPr>
      </w:pPr>
      <w:r w:rsidRPr="00973AED">
        <w:rPr>
          <w:rStyle w:val="apple-style-span"/>
          <w:color w:val="000000"/>
        </w:rPr>
        <w:t xml:space="preserve">Now David and his men went up and raided the </w:t>
      </w:r>
      <w:proofErr w:type="spellStart"/>
      <w:r w:rsidRPr="00973AED">
        <w:rPr>
          <w:rStyle w:val="apple-style-span"/>
          <w:color w:val="000000"/>
        </w:rPr>
        <w:t>Geshurites</w:t>
      </w:r>
      <w:proofErr w:type="spellEnd"/>
      <w:r w:rsidRPr="00973AED">
        <w:rPr>
          <w:rStyle w:val="apple-style-span"/>
          <w:color w:val="000000"/>
        </w:rPr>
        <w:t xml:space="preserve">, the </w:t>
      </w:r>
      <w:proofErr w:type="spellStart"/>
      <w:r w:rsidRPr="00973AED">
        <w:rPr>
          <w:rStyle w:val="apple-style-span"/>
          <w:color w:val="000000"/>
        </w:rPr>
        <w:t>Girzites</w:t>
      </w:r>
      <w:proofErr w:type="spellEnd"/>
      <w:r w:rsidRPr="00973AED">
        <w:rPr>
          <w:rStyle w:val="apple-style-span"/>
          <w:color w:val="000000"/>
        </w:rPr>
        <w:t xml:space="preserve"> and the Amalekites. (From ancient times these peoples had lived in the land extending to </w:t>
      </w:r>
      <w:proofErr w:type="spellStart"/>
      <w:r w:rsidRPr="00973AED">
        <w:rPr>
          <w:rStyle w:val="apple-style-span"/>
          <w:color w:val="000000"/>
        </w:rPr>
        <w:t>Shur</w:t>
      </w:r>
      <w:proofErr w:type="spellEnd"/>
      <w:r w:rsidRPr="00973AED">
        <w:rPr>
          <w:rStyle w:val="apple-style-span"/>
          <w:color w:val="000000"/>
        </w:rPr>
        <w:t xml:space="preserve"> and Egypt.)</w:t>
      </w:r>
      <w:r w:rsidRPr="00973AED">
        <w:rPr>
          <w:rStyle w:val="apple-converted-space"/>
          <w:color w:val="000000"/>
        </w:rPr>
        <w:t> </w:t>
      </w:r>
      <w:r w:rsidRPr="00973AED">
        <w:rPr>
          <w:rStyle w:val="apple-style-span"/>
          <w:color w:val="000000"/>
        </w:rPr>
        <w:t xml:space="preserve">Whenever David attacked an area, he did not leave a man or woman alive, but took sheep and cattle, donkeys and camels, and clothes. Then he returned to </w:t>
      </w:r>
      <w:proofErr w:type="spellStart"/>
      <w:r w:rsidRPr="00973AED">
        <w:rPr>
          <w:rStyle w:val="apple-style-span"/>
          <w:color w:val="000000"/>
        </w:rPr>
        <w:t>Achish</w:t>
      </w:r>
      <w:proofErr w:type="spellEnd"/>
      <w:r w:rsidRPr="00973AED">
        <w:rPr>
          <w:rStyle w:val="apple-style-span"/>
          <w:color w:val="000000"/>
        </w:rPr>
        <w:t xml:space="preserve">. </w:t>
      </w:r>
    </w:p>
    <w:p w:rsidR="001A6C34" w:rsidRPr="00973AED" w:rsidRDefault="001A6C34" w:rsidP="001A6C34">
      <w:pPr>
        <w:pStyle w:val="NormalWeb"/>
        <w:spacing w:before="0" w:beforeAutospacing="0" w:after="0" w:afterAutospacing="0"/>
        <w:ind w:right="26"/>
        <w:rPr>
          <w:rStyle w:val="apple-style-span"/>
        </w:rPr>
      </w:pPr>
      <w:r w:rsidRPr="00973AED">
        <w:rPr>
          <w:rStyle w:val="apple-style-span"/>
          <w:color w:val="000000"/>
        </w:rPr>
        <w:t xml:space="preserve">Not only does this that text affirm the Amalekites still exist, but the reference to Egypt and </w:t>
      </w:r>
      <w:proofErr w:type="spellStart"/>
      <w:r w:rsidRPr="00973AED">
        <w:rPr>
          <w:rStyle w:val="apple-style-span"/>
          <w:color w:val="000000"/>
        </w:rPr>
        <w:t>Shur</w:t>
      </w:r>
      <w:proofErr w:type="spellEnd"/>
      <w:r w:rsidRPr="00973AED">
        <w:rPr>
          <w:rStyle w:val="apple-style-span"/>
          <w:color w:val="000000"/>
        </w:rPr>
        <w:t xml:space="preserve"> states they exist in the same area that Saul attacked in the previous passages. Moreover, David killed Amalekite men and women living in his area, and took sheep and cattle as plunder.  However, these are the very things Saul was said in 1 Samuel 15 to have eradicated. </w:t>
      </w:r>
    </w:p>
    <w:p w:rsidR="001A6C34" w:rsidRDefault="001A6C34" w:rsidP="001A6C34">
      <w:pPr>
        <w:pStyle w:val="NormalWeb"/>
        <w:spacing w:before="0" w:beforeAutospacing="0" w:after="0" w:afterAutospacing="0"/>
        <w:ind w:right="26" w:firstLine="567"/>
        <w:rPr>
          <w:color w:val="000000"/>
        </w:rPr>
      </w:pPr>
      <w:r w:rsidRPr="00973AED">
        <w:rPr>
          <w:rStyle w:val="apple-style-span"/>
          <w:color w:val="000000"/>
        </w:rPr>
        <w:t>As we showed above, Saul was said to have killed all the Amalekites, men and women from “</w:t>
      </w:r>
      <w:proofErr w:type="spellStart"/>
      <w:r w:rsidRPr="00973AED">
        <w:rPr>
          <w:rStyle w:val="apple-style-span"/>
          <w:color w:val="000000"/>
        </w:rPr>
        <w:t>Havilah</w:t>
      </w:r>
      <w:proofErr w:type="spellEnd"/>
      <w:r w:rsidRPr="00973AED">
        <w:rPr>
          <w:rStyle w:val="apple-style-span"/>
          <w:color w:val="000000"/>
        </w:rPr>
        <w:t xml:space="preserve"> to </w:t>
      </w:r>
      <w:proofErr w:type="spellStart"/>
      <w:r w:rsidRPr="00973AED">
        <w:rPr>
          <w:rStyle w:val="apple-style-span"/>
          <w:color w:val="000000"/>
        </w:rPr>
        <w:t>Shur</w:t>
      </w:r>
      <w:proofErr w:type="spellEnd"/>
      <w:r w:rsidRPr="00973AED">
        <w:rPr>
          <w:rStyle w:val="apple-style-span"/>
          <w:color w:val="000000"/>
        </w:rPr>
        <w:t xml:space="preserve">, near the eastern border of Egypt” and all the livestock had either been destroyed or taken as plunder. Further, in 1 Samuel 30 a sizeable Amalekite army attacked </w:t>
      </w:r>
      <w:proofErr w:type="spellStart"/>
      <w:r w:rsidRPr="00973AED">
        <w:rPr>
          <w:rStyle w:val="apple-style-span"/>
          <w:color w:val="000000"/>
        </w:rPr>
        <w:t>Ziklag</w:t>
      </w:r>
      <w:proofErr w:type="spellEnd"/>
      <w:r w:rsidRPr="00973AED">
        <w:rPr>
          <w:rStyle w:val="apple-style-span"/>
          <w:color w:val="000000"/>
        </w:rPr>
        <w:t xml:space="preserve"> (1 Sam 30:1).  David pursued this army and fought a long battle with them and 400 Amalekites fled on horseback (1 Sam 30:7-17). In 2 Samuel 1:8 </w:t>
      </w:r>
      <w:proofErr w:type="gramStart"/>
      <w:r w:rsidRPr="00973AED">
        <w:rPr>
          <w:rStyle w:val="apple-style-span"/>
          <w:color w:val="000000"/>
        </w:rPr>
        <w:t>an</w:t>
      </w:r>
      <w:proofErr w:type="gramEnd"/>
      <w:r w:rsidRPr="00973AED">
        <w:rPr>
          <w:rStyle w:val="apple-style-span"/>
          <w:color w:val="000000"/>
        </w:rPr>
        <w:t xml:space="preserve"> Amalekite took credit for killing Saul and </w:t>
      </w:r>
      <w:r w:rsidRPr="00973AED">
        <w:rPr>
          <w:color w:val="000000"/>
        </w:rPr>
        <w:t xml:space="preserve">1 Chronicles 4:43 </w:t>
      </w:r>
      <w:r w:rsidRPr="00973AED">
        <w:rPr>
          <w:rStyle w:val="apple-style-span"/>
          <w:color w:val="000000"/>
        </w:rPr>
        <w:t xml:space="preserve">tells us Amalekites were still around during the reign of Hezekiah. So, if you view 1 Samuel and its canonical context as a single literary unit the text cannot be sensibly claiming that 1 Samuel 15 and 1 Samuel 27 are both literally true accounts of battles with the </w:t>
      </w:r>
      <w:proofErr w:type="spellStart"/>
      <w:r w:rsidRPr="00973AED">
        <w:rPr>
          <w:rStyle w:val="apple-style-span"/>
          <w:color w:val="000000"/>
        </w:rPr>
        <w:t>Amalekites.Third</w:t>
      </w:r>
      <w:proofErr w:type="spellEnd"/>
      <w:r w:rsidRPr="00973AED">
        <w:rPr>
          <w:rStyle w:val="apple-style-span"/>
          <w:color w:val="000000"/>
        </w:rPr>
        <w:t>, the genre and style of the accounts suggests 1 Samuel 15 is the non-literal; it appears highly hyperbolic and contains obvious rhetorical exaggeration. Saul’s army was said to be 210,000 men</w:t>
      </w:r>
      <w:r>
        <w:rPr>
          <w:rStyle w:val="apple-style-span"/>
          <w:color w:val="000000"/>
        </w:rPr>
        <w:t>, and thus</w:t>
      </w:r>
      <w:r w:rsidRPr="00973AED">
        <w:rPr>
          <w:rStyle w:val="apple-style-span"/>
          <w:color w:val="000000"/>
        </w:rPr>
        <w:t xml:space="preserve"> larger than any army known at this time in antiquity. Moreover, Saul struck the Amalekites from </w:t>
      </w:r>
      <w:proofErr w:type="spellStart"/>
      <w:r w:rsidRPr="00973AED">
        <w:rPr>
          <w:rStyle w:val="apple-style-span"/>
          <w:color w:val="000000"/>
        </w:rPr>
        <w:t>Havila</w:t>
      </w:r>
      <w:proofErr w:type="spellEnd"/>
      <w:r w:rsidRPr="00973AED">
        <w:rPr>
          <w:rStyle w:val="apple-style-span"/>
          <w:color w:val="000000"/>
        </w:rPr>
        <w:t xml:space="preserve"> to </w:t>
      </w:r>
      <w:proofErr w:type="spellStart"/>
      <w:r w:rsidRPr="00973AED">
        <w:rPr>
          <w:rStyle w:val="apple-style-span"/>
          <w:color w:val="000000"/>
        </w:rPr>
        <w:t>Shur</w:t>
      </w:r>
      <w:proofErr w:type="spellEnd"/>
      <w:r w:rsidRPr="00973AED">
        <w:rPr>
          <w:rStyle w:val="apple-style-span"/>
          <w:color w:val="000000"/>
        </w:rPr>
        <w:t xml:space="preserve">. </w:t>
      </w:r>
      <w:proofErr w:type="spellStart"/>
      <w:r w:rsidRPr="00973AED">
        <w:rPr>
          <w:rStyle w:val="apple-style-span"/>
          <w:color w:val="000000"/>
        </w:rPr>
        <w:t>Shur</w:t>
      </w:r>
      <w:proofErr w:type="spellEnd"/>
      <w:r w:rsidRPr="00973AED">
        <w:rPr>
          <w:rStyle w:val="apple-style-span"/>
          <w:color w:val="000000"/>
        </w:rPr>
        <w:t xml:space="preserve"> is on the edge of Egypt, </w:t>
      </w:r>
      <w:proofErr w:type="spellStart"/>
      <w:r w:rsidRPr="00973AED">
        <w:rPr>
          <w:rStyle w:val="apple-style-span"/>
          <w:color w:val="000000"/>
        </w:rPr>
        <w:t>Havila</w:t>
      </w:r>
      <w:proofErr w:type="spellEnd"/>
      <w:r w:rsidRPr="00973AED">
        <w:rPr>
          <w:rStyle w:val="apple-style-span"/>
          <w:color w:val="000000"/>
        </w:rPr>
        <w:t xml:space="preserve"> is in Saudi Arabia. This is an absurdly large battle field. The text used standard hyperbolic rhetoric of exaggerated numbers and geography. Similarly, 1 Samuel 15</w:t>
      </w:r>
      <w:r>
        <w:rPr>
          <w:rStyle w:val="apple-style-span"/>
          <w:color w:val="000000"/>
        </w:rPr>
        <w:t>’s</w:t>
      </w:r>
      <w:r w:rsidRPr="00973AED">
        <w:rPr>
          <w:rStyle w:val="apple-style-span"/>
          <w:color w:val="000000"/>
        </w:rPr>
        <w:t xml:space="preserve"> use</w:t>
      </w:r>
      <w:r>
        <w:rPr>
          <w:rStyle w:val="apple-style-span"/>
          <w:color w:val="000000"/>
        </w:rPr>
        <w:t xml:space="preserve"> of</w:t>
      </w:r>
      <w:r w:rsidRPr="00973AED">
        <w:rPr>
          <w:rStyle w:val="apple-style-span"/>
          <w:color w:val="000000"/>
        </w:rPr>
        <w:t xml:space="preserve"> the language of “utterly destroying [</w:t>
      </w:r>
      <w:r w:rsidRPr="00973AED">
        <w:rPr>
          <w:rStyle w:val="apple-style-span"/>
          <w:i/>
          <w:iCs/>
          <w:color w:val="000000"/>
        </w:rPr>
        <w:t>haram</w:t>
      </w:r>
      <w:r w:rsidRPr="00973AED">
        <w:rPr>
          <w:rStyle w:val="apple-style-span"/>
          <w:color w:val="000000"/>
        </w:rPr>
        <w:t xml:space="preserve">]” populations “with the sword,” is the same as that used hyperbolically in Joshua. </w:t>
      </w:r>
      <w:r w:rsidRPr="00973AED">
        <w:rPr>
          <w:color w:val="000000"/>
        </w:rPr>
        <w:t xml:space="preserve">Further, </w:t>
      </w:r>
      <w:r w:rsidRPr="00973AED">
        <w:rPr>
          <w:rStyle w:val="apple-style-span"/>
          <w:color w:val="000000"/>
        </w:rPr>
        <w:t>the language of “do not spare” the Amalekites but “</w:t>
      </w:r>
      <w:r w:rsidRPr="00973AED">
        <w:rPr>
          <w:color w:val="000000"/>
          <w:lang w:bidi="he-IL"/>
        </w:rPr>
        <w:t xml:space="preserve">put to death both man and woman, child and infant, ox and sheep, camel and donkey” appears to be </w:t>
      </w:r>
      <w:r w:rsidRPr="00973AED">
        <w:rPr>
          <w:rStyle w:val="apple-style-span"/>
          <w:color w:val="000000"/>
        </w:rPr>
        <w:t xml:space="preserve">stereotypical language; it is very similar to the hyperbolic description of military defeat in 1 Chronicles 36:16-1, where Jewish defeat and exile to Babylon was described in similar language. There are also obvious parallels between 1 Samuel 15 and the hyperbolic rhetoric of the </w:t>
      </w:r>
      <w:proofErr w:type="spellStart"/>
      <w:r w:rsidRPr="00973AED">
        <w:rPr>
          <w:rStyle w:val="apple-style-span"/>
          <w:color w:val="000000"/>
        </w:rPr>
        <w:t>Mesha</w:t>
      </w:r>
      <w:proofErr w:type="spellEnd"/>
      <w:r w:rsidRPr="00973AED">
        <w:rPr>
          <w:rStyle w:val="apple-style-span"/>
          <w:color w:val="000000"/>
        </w:rPr>
        <w:t xml:space="preserve"> Stele.</w:t>
      </w:r>
      <w:r>
        <w:rPr>
          <w:rStyle w:val="apple-style-span"/>
          <w:color w:val="000000"/>
        </w:rPr>
        <w:t xml:space="preserve"> I discuss the issue of the Amalekites in more detail in Copan and Flannagan “</w:t>
      </w:r>
      <w:r w:rsidRPr="00FC0543">
        <w:rPr>
          <w:color w:val="000000"/>
          <w:lang w:val="en-US"/>
        </w:rPr>
        <w:t>Some Reflections on the Ethics of Yahweh Wars”</w:t>
      </w:r>
      <w:r>
        <w:rPr>
          <w:color w:val="000000"/>
          <w:lang w:val="en-US"/>
        </w:rPr>
        <w:t xml:space="preserve"> </w:t>
      </w:r>
      <w:r w:rsidRPr="00FC0543">
        <w:rPr>
          <w:color w:val="000000"/>
          <w:lang w:val="en-US"/>
        </w:rPr>
        <w:t xml:space="preserve">in  </w:t>
      </w:r>
      <w:r w:rsidRPr="00FC0543">
        <w:rPr>
          <w:i/>
          <w:iCs/>
          <w:color w:val="000000"/>
          <w:lang w:val="en-US"/>
        </w:rPr>
        <w:t>Old Testament ‘Holy War’ and Christian Morality: Perspectives and Prospects,</w:t>
      </w:r>
      <w:r w:rsidRPr="00FC0543">
        <w:rPr>
          <w:color w:val="000000"/>
          <w:lang w:val="en-US"/>
        </w:rPr>
        <w:t xml:space="preserve"> </w:t>
      </w:r>
      <w:proofErr w:type="spellStart"/>
      <w:r w:rsidRPr="00FC0543">
        <w:rPr>
          <w:color w:val="000000"/>
          <w:lang w:val="en-US"/>
        </w:rPr>
        <w:t>eds</w:t>
      </w:r>
      <w:proofErr w:type="spellEnd"/>
      <w:r w:rsidRPr="00FC0543">
        <w:rPr>
          <w:color w:val="000000"/>
          <w:lang w:val="en-US"/>
        </w:rPr>
        <w:t xml:space="preserve"> Jeremy Evans, Heath Thomas and Paul Copan (Paternoster Press, forthcoming 2011</w:t>
      </w:r>
      <w:r>
        <w:rPr>
          <w:color w:val="000000"/>
          <w:lang w:val="en-US"/>
        </w:rPr>
        <w:t>).</w:t>
      </w:r>
    </w:p>
  </w:footnote>
  <w:footnote w:id="61">
    <w:p w:rsidR="001A6C34" w:rsidRPr="00973AED" w:rsidRDefault="001A6C34" w:rsidP="001A6C34">
      <w:pPr>
        <w:pStyle w:val="FootnoteText"/>
        <w:rPr>
          <w:rFonts w:ascii="Times New Roman" w:hAnsi="Times New Roman"/>
          <w:i/>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w:t>
      </w:r>
      <w:proofErr w:type="gramStart"/>
      <w:r w:rsidRPr="00973AED">
        <w:rPr>
          <w:rFonts w:ascii="Times New Roman" w:hAnsi="Times New Roman"/>
          <w:sz w:val="24"/>
          <w:szCs w:val="24"/>
          <w:lang w:val="en-NZ"/>
        </w:rPr>
        <w:t xml:space="preserve">Wolterstorff, </w:t>
      </w:r>
      <w:r w:rsidRPr="00973AED">
        <w:rPr>
          <w:rFonts w:ascii="Times New Roman" w:hAnsi="Times New Roman"/>
          <w:i/>
          <w:sz w:val="24"/>
          <w:szCs w:val="24"/>
          <w:lang w:val="en-NZ"/>
        </w:rPr>
        <w:t>Reading Joshua</w:t>
      </w:r>
      <w:r w:rsidRPr="00973AED">
        <w:rPr>
          <w:rFonts w:ascii="Times New Roman" w:hAnsi="Times New Roman"/>
          <w:sz w:val="24"/>
          <w:szCs w:val="24"/>
          <w:lang w:val="en-NZ"/>
        </w:rPr>
        <w:t>,</w:t>
      </w:r>
      <w:r w:rsidRPr="00973AED">
        <w:rPr>
          <w:rFonts w:ascii="Times New Roman" w:hAnsi="Times New Roman"/>
          <w:i/>
          <w:sz w:val="24"/>
          <w:szCs w:val="24"/>
          <w:lang w:val="en-NZ"/>
        </w:rPr>
        <w:t xml:space="preserve"> </w:t>
      </w:r>
      <w:r w:rsidRPr="00973AED">
        <w:rPr>
          <w:rFonts w:ascii="Times New Roman" w:hAnsi="Times New Roman"/>
          <w:color w:val="000000"/>
          <w:sz w:val="24"/>
          <w:szCs w:val="24"/>
        </w:rPr>
        <w:t>251.</w:t>
      </w:r>
      <w:proofErr w:type="gramEnd"/>
    </w:p>
  </w:footnote>
  <w:footnote w:id="62">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Jacob </w:t>
      </w:r>
      <w:proofErr w:type="spellStart"/>
      <w:r w:rsidRPr="00973AED">
        <w:rPr>
          <w:rFonts w:ascii="Times New Roman" w:hAnsi="Times New Roman"/>
          <w:sz w:val="24"/>
          <w:szCs w:val="24"/>
        </w:rPr>
        <w:t>Milgrom</w:t>
      </w:r>
      <w:proofErr w:type="spellEnd"/>
      <w:r>
        <w:rPr>
          <w:rFonts w:ascii="Times New Roman" w:hAnsi="Times New Roman"/>
          <w:sz w:val="24"/>
          <w:szCs w:val="24"/>
        </w:rPr>
        <w:t>,</w:t>
      </w:r>
      <w:r w:rsidRPr="00973AED">
        <w:rPr>
          <w:rFonts w:ascii="Times New Roman" w:hAnsi="Times New Roman"/>
          <w:sz w:val="24"/>
          <w:szCs w:val="24"/>
        </w:rPr>
        <w:t xml:space="preserve"> </w:t>
      </w:r>
      <w:r w:rsidRPr="00973AED">
        <w:rPr>
          <w:rFonts w:ascii="Times New Roman" w:hAnsi="Times New Roman"/>
          <w:i/>
          <w:iCs/>
          <w:sz w:val="24"/>
          <w:szCs w:val="24"/>
        </w:rPr>
        <w:t xml:space="preserve">Numbers: The Traditional Hebrew Text </w:t>
      </w:r>
      <w:proofErr w:type="gramStart"/>
      <w:r w:rsidRPr="00973AED">
        <w:rPr>
          <w:rFonts w:ascii="Times New Roman" w:hAnsi="Times New Roman"/>
          <w:i/>
          <w:iCs/>
          <w:sz w:val="24"/>
          <w:szCs w:val="24"/>
        </w:rPr>
        <w:t>With</w:t>
      </w:r>
      <w:proofErr w:type="gramEnd"/>
      <w:r w:rsidRPr="00973AED">
        <w:rPr>
          <w:rFonts w:ascii="Times New Roman" w:hAnsi="Times New Roman"/>
          <w:i/>
          <w:iCs/>
          <w:sz w:val="24"/>
          <w:szCs w:val="24"/>
        </w:rPr>
        <w:t xml:space="preserve"> the New JPS Translation</w:t>
      </w:r>
      <w:r w:rsidRPr="00973AED">
        <w:rPr>
          <w:rStyle w:val="apple-style-span"/>
          <w:rFonts w:ascii="Times New Roman" w:hAnsi="Times New Roman"/>
          <w:color w:val="333333"/>
          <w:sz w:val="24"/>
          <w:szCs w:val="24"/>
        </w:rPr>
        <w:t xml:space="preserve"> (</w:t>
      </w:r>
      <w:r w:rsidRPr="00973AED">
        <w:rPr>
          <w:rStyle w:val="apple-style-span"/>
          <w:rFonts w:ascii="Times New Roman" w:hAnsi="Times New Roman"/>
          <w:color w:val="000000"/>
          <w:sz w:val="24"/>
          <w:szCs w:val="24"/>
        </w:rPr>
        <w:t>Philadelphia</w:t>
      </w:r>
      <w:r w:rsidRPr="00973AED">
        <w:rPr>
          <w:rStyle w:val="apple-style-span"/>
          <w:rFonts w:ascii="Times New Roman" w:hAnsi="Times New Roman"/>
          <w:color w:val="333333"/>
          <w:sz w:val="24"/>
          <w:szCs w:val="24"/>
        </w:rPr>
        <w:t xml:space="preserve">: </w:t>
      </w:r>
      <w:r w:rsidRPr="00973AED">
        <w:rPr>
          <w:rStyle w:val="apple-style-span"/>
          <w:rFonts w:ascii="Times New Roman" w:hAnsi="Times New Roman"/>
          <w:color w:val="000000"/>
          <w:sz w:val="24"/>
          <w:szCs w:val="24"/>
        </w:rPr>
        <w:t>Jewish Publication Society of America</w:t>
      </w:r>
      <w:r w:rsidRPr="00973AED">
        <w:rPr>
          <w:rStyle w:val="apple-style-span"/>
          <w:rFonts w:ascii="Times New Roman" w:hAnsi="Times New Roman"/>
          <w:color w:val="333333"/>
          <w:sz w:val="24"/>
          <w:szCs w:val="24"/>
        </w:rPr>
        <w:t>, 1990),</w:t>
      </w:r>
      <w:r w:rsidRPr="00973AED">
        <w:rPr>
          <w:rFonts w:ascii="Times New Roman" w:hAnsi="Times New Roman"/>
          <w:b/>
          <w:bCs/>
          <w:color w:val="000000"/>
          <w:sz w:val="24"/>
          <w:szCs w:val="24"/>
        </w:rPr>
        <w:t xml:space="preserve"> </w:t>
      </w:r>
      <w:r w:rsidRPr="00973AED">
        <w:rPr>
          <w:rFonts w:ascii="Times New Roman" w:hAnsi="Times New Roman"/>
          <w:color w:val="000000"/>
          <w:sz w:val="24"/>
          <w:szCs w:val="24"/>
        </w:rPr>
        <w:t>490-91.</w:t>
      </w:r>
    </w:p>
  </w:footnote>
  <w:footnote w:id="63">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w:t>
      </w:r>
      <w:proofErr w:type="gramStart"/>
      <w:r w:rsidRPr="00973AED">
        <w:rPr>
          <w:rFonts w:ascii="Times New Roman" w:hAnsi="Times New Roman"/>
          <w:sz w:val="24"/>
          <w:szCs w:val="24"/>
        </w:rPr>
        <w:t>Ibid, 490.</w:t>
      </w:r>
      <w:proofErr w:type="gramEnd"/>
    </w:p>
  </w:footnote>
  <w:footnote w:id="64">
    <w:p w:rsidR="001A6C34" w:rsidRPr="00973AED" w:rsidRDefault="001A6C34" w:rsidP="001A6C34">
      <w:pPr>
        <w:pStyle w:val="Heading1"/>
        <w:spacing w:before="0" w:after="0"/>
        <w:rPr>
          <w:rFonts w:ascii="Times New Roman" w:hAnsi="Times New Roman"/>
          <w:b w:val="0"/>
          <w:bCs w:val="0"/>
          <w:color w:val="000000"/>
          <w:sz w:val="24"/>
          <w:szCs w:val="24"/>
        </w:rPr>
      </w:pPr>
      <w:r w:rsidRPr="00973AED">
        <w:rPr>
          <w:rStyle w:val="FootnoteReference"/>
          <w:rFonts w:ascii="Times New Roman" w:hAnsi="Times New Roman"/>
          <w:b w:val="0"/>
          <w:sz w:val="24"/>
          <w:szCs w:val="24"/>
        </w:rPr>
        <w:footnoteRef/>
      </w:r>
      <w:r w:rsidRPr="00973AED">
        <w:rPr>
          <w:rFonts w:ascii="Times New Roman" w:hAnsi="Times New Roman"/>
          <w:b w:val="0"/>
          <w:sz w:val="24"/>
          <w:szCs w:val="24"/>
        </w:rPr>
        <w:t xml:space="preserve"> </w:t>
      </w:r>
      <w:proofErr w:type="gramStart"/>
      <w:r w:rsidRPr="00973AED">
        <w:rPr>
          <w:rFonts w:ascii="Times New Roman" w:hAnsi="Times New Roman"/>
          <w:b w:val="0"/>
          <w:sz w:val="24"/>
          <w:szCs w:val="24"/>
        </w:rPr>
        <w:t>Ibid.</w:t>
      </w:r>
      <w:proofErr w:type="gramEnd"/>
    </w:p>
  </w:footnote>
  <w:footnote w:id="65">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Daniel M. </w:t>
      </w:r>
      <w:proofErr w:type="spellStart"/>
      <w:r w:rsidRPr="00973AED">
        <w:rPr>
          <w:rFonts w:ascii="Times New Roman" w:hAnsi="Times New Roman"/>
          <w:sz w:val="24"/>
          <w:szCs w:val="24"/>
        </w:rPr>
        <w:t>Fouts</w:t>
      </w:r>
      <w:proofErr w:type="spellEnd"/>
      <w:r w:rsidRPr="00973AED">
        <w:rPr>
          <w:rFonts w:ascii="Times New Roman" w:hAnsi="Times New Roman"/>
          <w:sz w:val="24"/>
          <w:szCs w:val="24"/>
        </w:rPr>
        <w:t xml:space="preserve"> “A Defense of the Hyperbolic Interpretation of Numbers in the Old Testament” </w:t>
      </w:r>
      <w:r w:rsidRPr="00973AED">
        <w:rPr>
          <w:rFonts w:ascii="Times New Roman" w:hAnsi="Times New Roman"/>
          <w:i/>
          <w:sz w:val="24"/>
          <w:szCs w:val="24"/>
        </w:rPr>
        <w:t>Journal of the Evangelical Theological Society</w:t>
      </w:r>
      <w:r w:rsidRPr="00973AED">
        <w:rPr>
          <w:rFonts w:ascii="Times New Roman" w:hAnsi="Times New Roman"/>
          <w:sz w:val="24"/>
          <w:szCs w:val="24"/>
        </w:rPr>
        <w:t xml:space="preserve"> 40/3 (1997): 377-87. </w:t>
      </w:r>
    </w:p>
  </w:footnote>
  <w:footnote w:id="66">
    <w:p w:rsidR="001A6C34" w:rsidRPr="00973AED" w:rsidRDefault="001A6C34" w:rsidP="001A6C34">
      <w:pPr>
        <w:pStyle w:val="FootnoteText"/>
        <w:rPr>
          <w:rFonts w:ascii="Times New Roman" w:hAnsi="Times New Roman"/>
          <w:sz w:val="24"/>
          <w:szCs w:val="24"/>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w:t>
      </w:r>
      <w:proofErr w:type="gramStart"/>
      <w:r w:rsidRPr="00973AED">
        <w:rPr>
          <w:rFonts w:ascii="Times New Roman" w:hAnsi="Times New Roman"/>
          <w:sz w:val="24"/>
          <w:szCs w:val="24"/>
        </w:rPr>
        <w:t>Personal correspondence between Nicholas Wolterstorff and Paul Copan (May 2, 2011).</w:t>
      </w:r>
      <w:proofErr w:type="gramEnd"/>
    </w:p>
  </w:footnote>
  <w:footnote w:id="67">
    <w:p w:rsidR="001A6C34" w:rsidRPr="00973AED" w:rsidRDefault="001A6C34" w:rsidP="001A6C34">
      <w:pPr>
        <w:pStyle w:val="FootnoteText"/>
        <w:rPr>
          <w:rFonts w:ascii="Times New Roman" w:hAnsi="Times New Roman"/>
          <w:sz w:val="24"/>
          <w:szCs w:val="24"/>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One again needs to remember the dialectical context here, </w:t>
      </w:r>
      <w:r w:rsidRPr="00973AED">
        <w:rPr>
          <w:rFonts w:ascii="Times New Roman" w:hAnsi="Times New Roman"/>
          <w:color w:val="000000"/>
          <w:sz w:val="24"/>
          <w:szCs w:val="24"/>
        </w:rPr>
        <w:t>the skeptic who claims that</w:t>
      </w:r>
      <w:r w:rsidRPr="00973AED">
        <w:rPr>
          <w:rFonts w:ascii="Times New Roman" w:hAnsi="Times New Roman"/>
          <w:color w:val="FF0000"/>
          <w:sz w:val="24"/>
          <w:szCs w:val="24"/>
        </w:rPr>
        <w:t xml:space="preserve"> </w:t>
      </w:r>
      <w:r w:rsidRPr="00973AED">
        <w:rPr>
          <w:rFonts w:ascii="Times New Roman" w:hAnsi="Times New Roman"/>
          <w:color w:val="000000"/>
          <w:sz w:val="24"/>
          <w:szCs w:val="24"/>
        </w:rPr>
        <w:t xml:space="preserve">God commanded genocide is offering a </w:t>
      </w:r>
      <w:proofErr w:type="spellStart"/>
      <w:r w:rsidRPr="00973AED">
        <w:rPr>
          <w:rFonts w:ascii="Times New Roman" w:hAnsi="Times New Roman"/>
          <w:i/>
          <w:iCs/>
          <w:color w:val="000000"/>
          <w:sz w:val="24"/>
          <w:szCs w:val="24"/>
        </w:rPr>
        <w:t>reductio</w:t>
      </w:r>
      <w:proofErr w:type="spellEnd"/>
      <w:r w:rsidRPr="00973AED">
        <w:rPr>
          <w:rFonts w:ascii="Times New Roman" w:hAnsi="Times New Roman"/>
          <w:i/>
          <w:iCs/>
          <w:color w:val="000000"/>
          <w:sz w:val="24"/>
          <w:szCs w:val="24"/>
        </w:rPr>
        <w:t xml:space="preserve"> ad absurdum</w:t>
      </w:r>
      <w:r w:rsidRPr="00973AED">
        <w:rPr>
          <w:rFonts w:ascii="Times New Roman" w:hAnsi="Times New Roman"/>
          <w:color w:val="000000"/>
          <w:sz w:val="24"/>
          <w:szCs w:val="24"/>
        </w:rPr>
        <w:t xml:space="preserve">; she starts by assuming that whatever God commands is right and that Scripture is the word of God, she then derives from these assumptions the absurd conclusion that genocide is not wrong. The question then is whether, </w:t>
      </w:r>
      <w:r w:rsidRPr="00973AED">
        <w:rPr>
          <w:rFonts w:ascii="Times New Roman" w:hAnsi="Times New Roman"/>
          <w:i/>
          <w:iCs/>
          <w:color w:val="000000"/>
          <w:sz w:val="24"/>
          <w:szCs w:val="24"/>
        </w:rPr>
        <w:t>granting these assumptions</w:t>
      </w:r>
      <w:r w:rsidRPr="00973AED">
        <w:rPr>
          <w:rFonts w:ascii="Times New Roman" w:hAnsi="Times New Roman"/>
          <w:color w:val="000000"/>
          <w:sz w:val="24"/>
          <w:szCs w:val="24"/>
        </w:rPr>
        <w:t>, such a conclusion does, in fact, follow; hence, one is quite entitled, in this context, to assume the author was an intelligent person.</w:t>
      </w:r>
    </w:p>
  </w:footnote>
  <w:footnote w:id="68">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lang w:val="en-NZ"/>
        </w:rPr>
        <w:t xml:space="preserve"> Richard Swinburne notes that if the idea that the author is speaking literally is more absurd, given the context, then the idea that the author intended to speak figuratively then one should adopt the figurative reading. Hence, to rebut the argument that these texts are hyperbolic the critic then needs to show that it is </w:t>
      </w:r>
      <w:r w:rsidRPr="00973AED">
        <w:rPr>
          <w:rFonts w:ascii="Times New Roman" w:hAnsi="Times New Roman"/>
          <w:i/>
          <w:sz w:val="24"/>
          <w:szCs w:val="24"/>
          <w:lang w:val="en-NZ"/>
        </w:rPr>
        <w:t>less absurd</w:t>
      </w:r>
      <w:r w:rsidRPr="00973AED">
        <w:rPr>
          <w:rFonts w:ascii="Times New Roman" w:hAnsi="Times New Roman"/>
          <w:sz w:val="24"/>
          <w:szCs w:val="24"/>
          <w:lang w:val="en-NZ"/>
        </w:rPr>
        <w:t xml:space="preserve"> to claim the author of the final form is intending to speak literally than that he intended to speak hyperbolically. Richard Swinburne, </w:t>
      </w:r>
      <w:r w:rsidRPr="00973AED">
        <w:rPr>
          <w:rFonts w:ascii="Times New Roman" w:hAnsi="Times New Roman"/>
          <w:i/>
          <w:sz w:val="24"/>
          <w:szCs w:val="24"/>
          <w:lang w:val="en-NZ"/>
        </w:rPr>
        <w:t>Revelation: From Metaphor to Analogy</w:t>
      </w:r>
      <w:r w:rsidRPr="00973AED">
        <w:rPr>
          <w:rFonts w:ascii="Times New Roman" w:hAnsi="Times New Roman"/>
          <w:sz w:val="24"/>
          <w:szCs w:val="24"/>
          <w:lang w:val="en-NZ"/>
        </w:rPr>
        <w:t>, 2nd ed. (Oxford: Oxford University Press, 2007).</w:t>
      </w:r>
    </w:p>
  </w:footnote>
  <w:footnote w:id="69">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See note </w:t>
      </w:r>
      <w:r w:rsidRPr="00973AED">
        <w:rPr>
          <w:rFonts w:ascii="Times New Roman" w:hAnsi="Times New Roman"/>
          <w:color w:val="000000"/>
          <w:sz w:val="24"/>
          <w:szCs w:val="24"/>
          <w:lang w:val="en-NZ"/>
        </w:rPr>
        <w:t>60.</w:t>
      </w:r>
    </w:p>
  </w:footnote>
  <w:footnote w:id="70">
    <w:p w:rsidR="001A6C34" w:rsidRPr="00973AED" w:rsidRDefault="001A6C34" w:rsidP="001A6C34">
      <w:pPr>
        <w:pStyle w:val="FootnoteText"/>
        <w:rPr>
          <w:rFonts w:ascii="Times New Roman" w:hAnsi="Times New Roman"/>
          <w:color w:val="000000"/>
          <w:sz w:val="24"/>
          <w:szCs w:val="24"/>
          <w:lang w:val="en-NZ"/>
        </w:rPr>
      </w:pPr>
      <w:r w:rsidRPr="00973AED">
        <w:rPr>
          <w:rStyle w:val="FootnoteReference"/>
          <w:rFonts w:ascii="Times New Roman" w:hAnsi="Times New Roman"/>
          <w:color w:val="000000"/>
          <w:sz w:val="24"/>
          <w:szCs w:val="24"/>
        </w:rPr>
        <w:footnoteRef/>
      </w:r>
      <w:r w:rsidRPr="00973AED">
        <w:rPr>
          <w:rFonts w:ascii="Times New Roman" w:hAnsi="Times New Roman"/>
          <w:color w:val="000000"/>
          <w:sz w:val="24"/>
          <w:szCs w:val="24"/>
        </w:rPr>
        <w:t xml:space="preserve"> C</w:t>
      </w:r>
      <w:proofErr w:type="spellStart"/>
      <w:r w:rsidRPr="00973AED">
        <w:rPr>
          <w:rFonts w:ascii="Times New Roman" w:hAnsi="Times New Roman"/>
          <w:color w:val="000000"/>
          <w:sz w:val="24"/>
          <w:szCs w:val="24"/>
          <w:lang w:val="en-NZ"/>
        </w:rPr>
        <w:t>ompare</w:t>
      </w:r>
      <w:proofErr w:type="spellEnd"/>
      <w:r w:rsidRPr="00973AED">
        <w:rPr>
          <w:rFonts w:ascii="Times New Roman" w:hAnsi="Times New Roman"/>
          <w:color w:val="000000"/>
          <w:sz w:val="24"/>
          <w:szCs w:val="24"/>
          <w:lang w:val="en-NZ"/>
        </w:rPr>
        <w:t xml:space="preserve"> 2 Chronicles 36:17 with 2 Chronicles 36:20 and also 2 Chronicles 36:18 with 2 Chronicles 36:19.</w:t>
      </w:r>
    </w:p>
  </w:footnote>
  <w:footnote w:id="71">
    <w:p w:rsidR="001A6C34" w:rsidRPr="00973AED" w:rsidRDefault="001A6C34" w:rsidP="001A6C34">
      <w:pPr>
        <w:pStyle w:val="FootnoteText"/>
        <w:rPr>
          <w:rFonts w:ascii="Times New Roman" w:hAnsi="Times New Roman"/>
          <w:sz w:val="24"/>
          <w:szCs w:val="24"/>
          <w:lang w:val="en-NZ"/>
        </w:rPr>
      </w:pPr>
      <w:r w:rsidRPr="00973AED">
        <w:rPr>
          <w:rStyle w:val="FootnoteReference"/>
          <w:rFonts w:ascii="Times New Roman" w:hAnsi="Times New Roman"/>
          <w:sz w:val="24"/>
          <w:szCs w:val="24"/>
        </w:rPr>
        <w:footnoteRef/>
      </w:r>
      <w:r w:rsidRPr="00973AED">
        <w:rPr>
          <w:rFonts w:ascii="Times New Roman" w:hAnsi="Times New Roman"/>
          <w:sz w:val="24"/>
          <w:szCs w:val="24"/>
        </w:rPr>
        <w:t xml:space="preserve"> See note 4</w:t>
      </w:r>
      <w:r>
        <w:rPr>
          <w:rFonts w:ascii="Times New Roman" w:hAnsi="Times New Roman"/>
          <w:sz w:val="24"/>
          <w:szCs w:val="24"/>
        </w:rPr>
        <w:t>5</w:t>
      </w:r>
      <w:r w:rsidRPr="00973AED">
        <w:rPr>
          <w:rFonts w:ascii="Times New Roman" w:hAnsi="Times New Roman"/>
          <w:sz w:val="24"/>
          <w:szCs w:val="24"/>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C34"/>
    <w:rsid w:val="001A6C34"/>
    <w:rsid w:val="0034412C"/>
    <w:rsid w:val="0067354D"/>
    <w:rsid w:val="00D1487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C34"/>
    <w:rPr>
      <w:lang w:val="en-US"/>
    </w:rPr>
  </w:style>
  <w:style w:type="paragraph" w:styleId="Heading1">
    <w:name w:val="heading 1"/>
    <w:basedOn w:val="Normal"/>
    <w:next w:val="Normal"/>
    <w:link w:val="Heading1Char"/>
    <w:qFormat/>
    <w:rsid w:val="001A6C34"/>
    <w:pPr>
      <w:keepNext/>
      <w:spacing w:before="240" w:after="60" w:line="240" w:lineRule="auto"/>
      <w:outlineLvl w:val="0"/>
    </w:pPr>
    <w:rPr>
      <w:rFonts w:ascii="Cambria" w:eastAsia="Times New Roman" w:hAnsi="Cambria" w:cs="Times New Roman"/>
      <w:b/>
      <w:bCs/>
      <w:kern w:val="32"/>
      <w:sz w:val="32"/>
      <w:szCs w:val="3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6C34"/>
    <w:rPr>
      <w:rFonts w:ascii="Cambria" w:eastAsia="Times New Roman" w:hAnsi="Cambria" w:cs="Times New Roman"/>
      <w:b/>
      <w:bCs/>
      <w:kern w:val="32"/>
      <w:sz w:val="32"/>
      <w:szCs w:val="32"/>
      <w:lang w:val="en-GB" w:eastAsia="en-GB"/>
    </w:rPr>
  </w:style>
  <w:style w:type="character" w:styleId="Hyperlink">
    <w:name w:val="Hyperlink"/>
    <w:basedOn w:val="DefaultParagraphFont"/>
    <w:unhideWhenUsed/>
    <w:rsid w:val="001A6C34"/>
    <w:rPr>
      <w:color w:val="0000FF"/>
      <w:u w:val="single"/>
    </w:rPr>
  </w:style>
  <w:style w:type="character" w:styleId="CommentReference">
    <w:name w:val="annotation reference"/>
    <w:basedOn w:val="DefaultParagraphFont"/>
    <w:rsid w:val="001A6C34"/>
    <w:rPr>
      <w:sz w:val="16"/>
      <w:szCs w:val="16"/>
    </w:rPr>
  </w:style>
  <w:style w:type="character" w:styleId="FootnoteReference">
    <w:name w:val="footnote reference"/>
    <w:rsid w:val="001A6C34"/>
    <w:rPr>
      <w:vertAlign w:val="superscript"/>
    </w:rPr>
  </w:style>
  <w:style w:type="paragraph" w:styleId="FootnoteText">
    <w:name w:val="footnote text"/>
    <w:basedOn w:val="Normal"/>
    <w:link w:val="FootnoteTextChar"/>
    <w:rsid w:val="001A6C34"/>
    <w:pPr>
      <w:suppressAutoHyphens/>
      <w:spacing w:after="0" w:line="240" w:lineRule="auto"/>
    </w:pPr>
    <w:rPr>
      <w:rFonts w:ascii="Palatino Linotype" w:eastAsia="Times New Roman" w:hAnsi="Palatino Linotype" w:cs="Times New Roman"/>
      <w:sz w:val="20"/>
      <w:szCs w:val="20"/>
      <w:lang w:eastAsia="ar-SA"/>
    </w:rPr>
  </w:style>
  <w:style w:type="character" w:customStyle="1" w:styleId="FootnoteTextChar">
    <w:name w:val="Footnote Text Char"/>
    <w:basedOn w:val="DefaultParagraphFont"/>
    <w:link w:val="FootnoteText"/>
    <w:rsid w:val="001A6C34"/>
    <w:rPr>
      <w:rFonts w:ascii="Palatino Linotype" w:eastAsia="Times New Roman" w:hAnsi="Palatino Linotype" w:cs="Times New Roman"/>
      <w:sz w:val="20"/>
      <w:szCs w:val="20"/>
      <w:lang w:val="en-US" w:eastAsia="ar-SA"/>
    </w:rPr>
  </w:style>
  <w:style w:type="paragraph" w:styleId="CommentText">
    <w:name w:val="annotation text"/>
    <w:basedOn w:val="Normal"/>
    <w:link w:val="CommentTextChar"/>
    <w:rsid w:val="001A6C34"/>
    <w:pPr>
      <w:suppressAutoHyphens/>
      <w:spacing w:after="0" w:line="240" w:lineRule="auto"/>
    </w:pPr>
    <w:rPr>
      <w:rFonts w:ascii="Palatino Linotype" w:eastAsia="Times New Roman" w:hAnsi="Palatino Linotype" w:cs="Times New Roman"/>
      <w:sz w:val="20"/>
      <w:szCs w:val="20"/>
      <w:lang w:eastAsia="ar-SA"/>
    </w:rPr>
  </w:style>
  <w:style w:type="character" w:customStyle="1" w:styleId="CommentTextChar">
    <w:name w:val="Comment Text Char"/>
    <w:basedOn w:val="DefaultParagraphFont"/>
    <w:link w:val="CommentText"/>
    <w:rsid w:val="001A6C34"/>
    <w:rPr>
      <w:rFonts w:ascii="Palatino Linotype" w:eastAsia="Times New Roman" w:hAnsi="Palatino Linotype" w:cs="Times New Roman"/>
      <w:sz w:val="20"/>
      <w:szCs w:val="20"/>
      <w:lang w:val="en-US" w:eastAsia="ar-SA"/>
    </w:rPr>
  </w:style>
  <w:style w:type="character" w:customStyle="1" w:styleId="apple-style-span">
    <w:name w:val="apple-style-span"/>
    <w:basedOn w:val="DefaultParagraphFont"/>
    <w:rsid w:val="001A6C34"/>
  </w:style>
  <w:style w:type="character" w:styleId="Emphasis">
    <w:name w:val="Emphasis"/>
    <w:basedOn w:val="DefaultParagraphFont"/>
    <w:qFormat/>
    <w:rsid w:val="001A6C34"/>
    <w:rPr>
      <w:i/>
      <w:iCs/>
    </w:rPr>
  </w:style>
  <w:style w:type="character" w:customStyle="1" w:styleId="apple-converted-space">
    <w:name w:val="apple-converted-space"/>
    <w:basedOn w:val="DefaultParagraphFont"/>
    <w:rsid w:val="001A6C34"/>
  </w:style>
  <w:style w:type="paragraph" w:styleId="Footer">
    <w:name w:val="footer"/>
    <w:basedOn w:val="Normal"/>
    <w:link w:val="FooterChar"/>
    <w:unhideWhenUsed/>
    <w:rsid w:val="001A6C34"/>
    <w:pPr>
      <w:tabs>
        <w:tab w:val="center" w:pos="4680"/>
        <w:tab w:val="right" w:pos="9360"/>
      </w:tabs>
      <w:spacing w:after="0" w:line="240" w:lineRule="auto"/>
    </w:pPr>
    <w:rPr>
      <w:rFonts w:eastAsiaTheme="minorEastAsia"/>
    </w:rPr>
  </w:style>
  <w:style w:type="character" w:customStyle="1" w:styleId="FooterChar">
    <w:name w:val="Footer Char"/>
    <w:basedOn w:val="DefaultParagraphFont"/>
    <w:link w:val="Footer"/>
    <w:rsid w:val="001A6C34"/>
    <w:rPr>
      <w:rFonts w:eastAsiaTheme="minorEastAsia"/>
      <w:lang w:val="en-US"/>
    </w:rPr>
  </w:style>
  <w:style w:type="paragraph" w:styleId="NormalWeb">
    <w:name w:val="Normal (Web)"/>
    <w:basedOn w:val="Normal"/>
    <w:uiPriority w:val="99"/>
    <w:rsid w:val="001A6C3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sdfootnote">
    <w:name w:val="sdfootnote"/>
    <w:basedOn w:val="Normal"/>
    <w:rsid w:val="001A6C34"/>
    <w:pPr>
      <w:spacing w:before="100" w:beforeAutospacing="1" w:after="0" w:line="240" w:lineRule="auto"/>
      <w:ind w:left="284" w:hanging="284"/>
    </w:pPr>
    <w:rPr>
      <w:rFonts w:ascii="Times New Roman" w:eastAsia="Times New Roman" w:hAnsi="Times New Roman" w:cs="Times New Roman"/>
      <w:sz w:val="20"/>
      <w:szCs w:val="20"/>
      <w:lang w:val="en-GB" w:eastAsia="en-GB"/>
    </w:rPr>
  </w:style>
  <w:style w:type="paragraph" w:styleId="PlainText">
    <w:name w:val="Plain Text"/>
    <w:basedOn w:val="Normal"/>
    <w:link w:val="PlainTextChar"/>
    <w:rsid w:val="001A6C34"/>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1A6C34"/>
    <w:rPr>
      <w:rFonts w:ascii="Courier New" w:eastAsia="Times New Roman" w:hAnsi="Courier New" w:cs="Courier New"/>
      <w:sz w:val="20"/>
      <w:szCs w:val="20"/>
      <w:lang w:val="en-US"/>
    </w:rPr>
  </w:style>
  <w:style w:type="character" w:styleId="Strong">
    <w:name w:val="Strong"/>
    <w:uiPriority w:val="22"/>
    <w:qFormat/>
    <w:rsid w:val="001A6C34"/>
    <w:rPr>
      <w:b/>
      <w:bCs/>
    </w:rPr>
  </w:style>
  <w:style w:type="character" w:styleId="PageNumber">
    <w:name w:val="page number"/>
    <w:basedOn w:val="DefaultParagraphFont"/>
    <w:rsid w:val="001A6C34"/>
  </w:style>
  <w:style w:type="paragraph" w:styleId="BalloonText">
    <w:name w:val="Balloon Text"/>
    <w:basedOn w:val="Normal"/>
    <w:link w:val="BalloonTextChar"/>
    <w:uiPriority w:val="99"/>
    <w:semiHidden/>
    <w:unhideWhenUsed/>
    <w:rsid w:val="001A6C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C34"/>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C34"/>
    <w:rPr>
      <w:lang w:val="en-US"/>
    </w:rPr>
  </w:style>
  <w:style w:type="paragraph" w:styleId="Heading1">
    <w:name w:val="heading 1"/>
    <w:basedOn w:val="Normal"/>
    <w:next w:val="Normal"/>
    <w:link w:val="Heading1Char"/>
    <w:qFormat/>
    <w:rsid w:val="001A6C34"/>
    <w:pPr>
      <w:keepNext/>
      <w:spacing w:before="240" w:after="60" w:line="240" w:lineRule="auto"/>
      <w:outlineLvl w:val="0"/>
    </w:pPr>
    <w:rPr>
      <w:rFonts w:ascii="Cambria" w:eastAsia="Times New Roman" w:hAnsi="Cambria" w:cs="Times New Roman"/>
      <w:b/>
      <w:bCs/>
      <w:kern w:val="32"/>
      <w:sz w:val="32"/>
      <w:szCs w:val="3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6C34"/>
    <w:rPr>
      <w:rFonts w:ascii="Cambria" w:eastAsia="Times New Roman" w:hAnsi="Cambria" w:cs="Times New Roman"/>
      <w:b/>
      <w:bCs/>
      <w:kern w:val="32"/>
      <w:sz w:val="32"/>
      <w:szCs w:val="32"/>
      <w:lang w:val="en-GB" w:eastAsia="en-GB"/>
    </w:rPr>
  </w:style>
  <w:style w:type="character" w:styleId="Hyperlink">
    <w:name w:val="Hyperlink"/>
    <w:basedOn w:val="DefaultParagraphFont"/>
    <w:unhideWhenUsed/>
    <w:rsid w:val="001A6C34"/>
    <w:rPr>
      <w:color w:val="0000FF"/>
      <w:u w:val="single"/>
    </w:rPr>
  </w:style>
  <w:style w:type="character" w:styleId="CommentReference">
    <w:name w:val="annotation reference"/>
    <w:basedOn w:val="DefaultParagraphFont"/>
    <w:rsid w:val="001A6C34"/>
    <w:rPr>
      <w:sz w:val="16"/>
      <w:szCs w:val="16"/>
    </w:rPr>
  </w:style>
  <w:style w:type="character" w:styleId="FootnoteReference">
    <w:name w:val="footnote reference"/>
    <w:rsid w:val="001A6C34"/>
    <w:rPr>
      <w:vertAlign w:val="superscript"/>
    </w:rPr>
  </w:style>
  <w:style w:type="paragraph" w:styleId="FootnoteText">
    <w:name w:val="footnote text"/>
    <w:basedOn w:val="Normal"/>
    <w:link w:val="FootnoteTextChar"/>
    <w:rsid w:val="001A6C34"/>
    <w:pPr>
      <w:suppressAutoHyphens/>
      <w:spacing w:after="0" w:line="240" w:lineRule="auto"/>
    </w:pPr>
    <w:rPr>
      <w:rFonts w:ascii="Palatino Linotype" w:eastAsia="Times New Roman" w:hAnsi="Palatino Linotype" w:cs="Times New Roman"/>
      <w:sz w:val="20"/>
      <w:szCs w:val="20"/>
      <w:lang w:eastAsia="ar-SA"/>
    </w:rPr>
  </w:style>
  <w:style w:type="character" w:customStyle="1" w:styleId="FootnoteTextChar">
    <w:name w:val="Footnote Text Char"/>
    <w:basedOn w:val="DefaultParagraphFont"/>
    <w:link w:val="FootnoteText"/>
    <w:rsid w:val="001A6C34"/>
    <w:rPr>
      <w:rFonts w:ascii="Palatino Linotype" w:eastAsia="Times New Roman" w:hAnsi="Palatino Linotype" w:cs="Times New Roman"/>
      <w:sz w:val="20"/>
      <w:szCs w:val="20"/>
      <w:lang w:val="en-US" w:eastAsia="ar-SA"/>
    </w:rPr>
  </w:style>
  <w:style w:type="paragraph" w:styleId="CommentText">
    <w:name w:val="annotation text"/>
    <w:basedOn w:val="Normal"/>
    <w:link w:val="CommentTextChar"/>
    <w:rsid w:val="001A6C34"/>
    <w:pPr>
      <w:suppressAutoHyphens/>
      <w:spacing w:after="0" w:line="240" w:lineRule="auto"/>
    </w:pPr>
    <w:rPr>
      <w:rFonts w:ascii="Palatino Linotype" w:eastAsia="Times New Roman" w:hAnsi="Palatino Linotype" w:cs="Times New Roman"/>
      <w:sz w:val="20"/>
      <w:szCs w:val="20"/>
      <w:lang w:eastAsia="ar-SA"/>
    </w:rPr>
  </w:style>
  <w:style w:type="character" w:customStyle="1" w:styleId="CommentTextChar">
    <w:name w:val="Comment Text Char"/>
    <w:basedOn w:val="DefaultParagraphFont"/>
    <w:link w:val="CommentText"/>
    <w:rsid w:val="001A6C34"/>
    <w:rPr>
      <w:rFonts w:ascii="Palatino Linotype" w:eastAsia="Times New Roman" w:hAnsi="Palatino Linotype" w:cs="Times New Roman"/>
      <w:sz w:val="20"/>
      <w:szCs w:val="20"/>
      <w:lang w:val="en-US" w:eastAsia="ar-SA"/>
    </w:rPr>
  </w:style>
  <w:style w:type="character" w:customStyle="1" w:styleId="apple-style-span">
    <w:name w:val="apple-style-span"/>
    <w:basedOn w:val="DefaultParagraphFont"/>
    <w:rsid w:val="001A6C34"/>
  </w:style>
  <w:style w:type="character" w:styleId="Emphasis">
    <w:name w:val="Emphasis"/>
    <w:basedOn w:val="DefaultParagraphFont"/>
    <w:qFormat/>
    <w:rsid w:val="001A6C34"/>
    <w:rPr>
      <w:i/>
      <w:iCs/>
    </w:rPr>
  </w:style>
  <w:style w:type="character" w:customStyle="1" w:styleId="apple-converted-space">
    <w:name w:val="apple-converted-space"/>
    <w:basedOn w:val="DefaultParagraphFont"/>
    <w:rsid w:val="001A6C34"/>
  </w:style>
  <w:style w:type="paragraph" w:styleId="Footer">
    <w:name w:val="footer"/>
    <w:basedOn w:val="Normal"/>
    <w:link w:val="FooterChar"/>
    <w:unhideWhenUsed/>
    <w:rsid w:val="001A6C34"/>
    <w:pPr>
      <w:tabs>
        <w:tab w:val="center" w:pos="4680"/>
        <w:tab w:val="right" w:pos="9360"/>
      </w:tabs>
      <w:spacing w:after="0" w:line="240" w:lineRule="auto"/>
    </w:pPr>
    <w:rPr>
      <w:rFonts w:eastAsiaTheme="minorEastAsia"/>
    </w:rPr>
  </w:style>
  <w:style w:type="character" w:customStyle="1" w:styleId="FooterChar">
    <w:name w:val="Footer Char"/>
    <w:basedOn w:val="DefaultParagraphFont"/>
    <w:link w:val="Footer"/>
    <w:rsid w:val="001A6C34"/>
    <w:rPr>
      <w:rFonts w:eastAsiaTheme="minorEastAsia"/>
      <w:lang w:val="en-US"/>
    </w:rPr>
  </w:style>
  <w:style w:type="paragraph" w:styleId="NormalWeb">
    <w:name w:val="Normal (Web)"/>
    <w:basedOn w:val="Normal"/>
    <w:uiPriority w:val="99"/>
    <w:rsid w:val="001A6C3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sdfootnote">
    <w:name w:val="sdfootnote"/>
    <w:basedOn w:val="Normal"/>
    <w:rsid w:val="001A6C34"/>
    <w:pPr>
      <w:spacing w:before="100" w:beforeAutospacing="1" w:after="0" w:line="240" w:lineRule="auto"/>
      <w:ind w:left="284" w:hanging="284"/>
    </w:pPr>
    <w:rPr>
      <w:rFonts w:ascii="Times New Roman" w:eastAsia="Times New Roman" w:hAnsi="Times New Roman" w:cs="Times New Roman"/>
      <w:sz w:val="20"/>
      <w:szCs w:val="20"/>
      <w:lang w:val="en-GB" w:eastAsia="en-GB"/>
    </w:rPr>
  </w:style>
  <w:style w:type="paragraph" w:styleId="PlainText">
    <w:name w:val="Plain Text"/>
    <w:basedOn w:val="Normal"/>
    <w:link w:val="PlainTextChar"/>
    <w:rsid w:val="001A6C34"/>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1A6C34"/>
    <w:rPr>
      <w:rFonts w:ascii="Courier New" w:eastAsia="Times New Roman" w:hAnsi="Courier New" w:cs="Courier New"/>
      <w:sz w:val="20"/>
      <w:szCs w:val="20"/>
      <w:lang w:val="en-US"/>
    </w:rPr>
  </w:style>
  <w:style w:type="character" w:styleId="Strong">
    <w:name w:val="Strong"/>
    <w:uiPriority w:val="22"/>
    <w:qFormat/>
    <w:rsid w:val="001A6C34"/>
    <w:rPr>
      <w:b/>
      <w:bCs/>
    </w:rPr>
  </w:style>
  <w:style w:type="character" w:styleId="PageNumber">
    <w:name w:val="page number"/>
    <w:basedOn w:val="DefaultParagraphFont"/>
    <w:rsid w:val="001A6C34"/>
  </w:style>
  <w:style w:type="paragraph" w:styleId="BalloonText">
    <w:name w:val="Balloon Text"/>
    <w:basedOn w:val="Normal"/>
    <w:link w:val="BalloonTextChar"/>
    <w:uiPriority w:val="99"/>
    <w:semiHidden/>
    <w:unhideWhenUsed/>
    <w:rsid w:val="001A6C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C34"/>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reasonablefaith.org/site/News2?page=NewsArticle&amp;id=7911" TargetMode="External"/><Relationship Id="rId1" Type="http://schemas.openxmlformats.org/officeDocument/2006/relationships/hyperlink" Target="http://www.nd.edu/~cprelig/conferences/documents/HBprogram_00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24</Pages>
  <Words>5663</Words>
  <Characters>32280</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Flannagan</dc:creator>
  <cp:lastModifiedBy>Matthew Flannagan</cp:lastModifiedBy>
  <cp:revision>1</cp:revision>
  <dcterms:created xsi:type="dcterms:W3CDTF">2012-12-06T00:31:00Z</dcterms:created>
  <dcterms:modified xsi:type="dcterms:W3CDTF">2012-12-06T00:33:00Z</dcterms:modified>
</cp:coreProperties>
</file>